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宋体" w:cs="Times New Roman"/>
          <w:b/>
          <w:spacing w:val="-6"/>
          <w:sz w:val="36"/>
          <w:szCs w:val="30"/>
        </w:rPr>
      </w:pPr>
      <w:r>
        <w:rPr>
          <w:rFonts w:hint="default" w:ascii="Times New Roman" w:hAnsi="Times New Roman" w:eastAsia="宋体" w:cs="Times New Roman"/>
          <w:b/>
          <w:spacing w:val="-6"/>
          <w:sz w:val="36"/>
          <w:szCs w:val="30"/>
        </w:rPr>
        <w:t>全自动核酸检测分析仪技术参数</w:t>
      </w:r>
    </w:p>
    <w:p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b/>
          <w:szCs w:val="30"/>
        </w:rPr>
      </w:pPr>
      <w:r>
        <w:rPr>
          <w:rFonts w:hint="default" w:ascii="Times New Roman" w:hAnsi="Times New Roman" w:eastAsia="宋体" w:cs="Times New Roman"/>
          <w:b/>
          <w:szCs w:val="30"/>
          <w:lang w:val="en-US" w:eastAsia="zh-CN"/>
        </w:rPr>
        <w:t>设备名称：</w:t>
      </w:r>
      <w:r>
        <w:rPr>
          <w:rFonts w:hint="eastAsia" w:eastAsia="宋体" w:cs="Times New Roman"/>
          <w:b/>
          <w:szCs w:val="30"/>
          <w:lang w:val="en-US" w:eastAsia="zh-CN"/>
        </w:rPr>
        <w:t>全自动核酸检测分析仪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b/>
          <w:bCs w:val="0"/>
          <w:szCs w:val="30"/>
        </w:rPr>
      </w:pPr>
      <w:r>
        <w:rPr>
          <w:rFonts w:hint="eastAsia" w:eastAsia="宋体" w:cs="Times New Roman"/>
          <w:b/>
          <w:szCs w:val="30"/>
          <w:lang w:val="en-US" w:eastAsia="zh-CN"/>
        </w:rPr>
        <w:t>数量：</w:t>
      </w:r>
      <w:r>
        <w:rPr>
          <w:rFonts w:hint="eastAsia" w:eastAsia="宋体" w:cs="Times New Roman"/>
          <w:b/>
          <w:bCs w:val="0"/>
          <w:szCs w:val="30"/>
          <w:lang w:val="en-US" w:eastAsia="zh-CN"/>
        </w:rPr>
        <w:t>4通道仪器6台。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b/>
          <w:szCs w:val="30"/>
        </w:rPr>
        <w:t>设备主要用途说明</w:t>
      </w:r>
      <w:r>
        <w:rPr>
          <w:rFonts w:hint="default" w:ascii="Times New Roman" w:hAnsi="Times New Roman" w:eastAsia="宋体" w:cs="Times New Roman"/>
          <w:szCs w:val="30"/>
        </w:rPr>
        <w:t>：用于</w:t>
      </w:r>
      <w:r>
        <w:rPr>
          <w:rFonts w:hint="eastAsia" w:eastAsia="宋体" w:cs="Times New Roman"/>
          <w:szCs w:val="30"/>
          <w:lang w:val="en-US" w:eastAsia="zh-CN"/>
        </w:rPr>
        <w:t>病原体核酸的快速检测</w:t>
      </w:r>
      <w:r>
        <w:rPr>
          <w:rFonts w:hint="default" w:ascii="Times New Roman" w:hAnsi="Times New Roman" w:eastAsia="宋体" w:cs="Times New Roman"/>
          <w:szCs w:val="30"/>
          <w:lang w:eastAsia="zh-CN"/>
        </w:rPr>
        <w:t>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b/>
          <w:szCs w:val="30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设备的投标资格认证：所投产品为全新原装，并符合中国国家有关管理法规，提供有效的证明材料</w:t>
      </w:r>
      <w:r>
        <w:rPr>
          <w:rFonts w:hint="default" w:ascii="Times New Roman" w:hAnsi="Times New Roman" w:eastAsia="宋体" w:cs="Times New Roman"/>
          <w:szCs w:val="30"/>
          <w:lang w:eastAsia="zh-CN"/>
        </w:rPr>
        <w:t>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该设备需要提供《医疗器械注册证》</w:t>
      </w:r>
      <w:r>
        <w:rPr>
          <w:rFonts w:hint="default" w:ascii="Times New Roman" w:hAnsi="Times New Roman" w:eastAsia="宋体" w:cs="Times New Roman"/>
          <w:szCs w:val="30"/>
          <w:lang w:eastAsia="zh-CN"/>
        </w:rPr>
        <w:t>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须提供终生免费软件升级服务；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交货时间：≤1个月；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b/>
          <w:szCs w:val="30"/>
        </w:rPr>
        <w:t>配置及性能要求</w:t>
      </w:r>
      <w:r>
        <w:rPr>
          <w:rFonts w:hint="default" w:ascii="Times New Roman" w:hAnsi="Times New Roman" w:eastAsia="宋体" w:cs="Times New Roman"/>
          <w:szCs w:val="30"/>
        </w:rPr>
        <w:tab/>
      </w:r>
    </w:p>
    <w:p>
      <w:pPr>
        <w:pStyle w:val="6"/>
        <w:spacing w:line="560" w:lineRule="exact"/>
        <w:ind w:firstLine="0"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 xml:space="preserve">  （一）、设备要求</w:t>
      </w:r>
    </w:p>
    <w:p>
      <w:pPr>
        <w:pStyle w:val="6"/>
        <w:numPr>
          <w:ilvl w:val="1"/>
          <w:numId w:val="2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Cs w:val="30"/>
          <w:lang w:val="en-US" w:eastAsia="zh-CN"/>
        </w:rPr>
        <w:t>配置要求</w:t>
      </w:r>
    </w:p>
    <w:p>
      <w:pPr>
        <w:pStyle w:val="6"/>
        <w:numPr>
          <w:ilvl w:val="0"/>
          <w:numId w:val="0"/>
        </w:numPr>
        <w:spacing w:line="560" w:lineRule="exact"/>
        <w:ind w:left="420" w:leftChars="0" w:firstLine="600" w:firstLineChars="20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  <w:lang w:val="en-US" w:eastAsia="zh-CN"/>
        </w:rPr>
        <w:t>包括仪器主机、电脑、软件，能够完成绝对定量、相对定量、基于MGB原理的高成功率SNP分析和熔点曲线分析</w:t>
      </w:r>
      <w:r>
        <w:rPr>
          <w:rFonts w:hint="default" w:ascii="Times New Roman" w:hAnsi="Times New Roman" w:eastAsia="宋体" w:cs="Times New Roman"/>
          <w:szCs w:val="30"/>
          <w:lang w:eastAsia="zh-CN"/>
        </w:rPr>
        <w:t>。</w:t>
      </w:r>
    </w:p>
    <w:p>
      <w:pPr>
        <w:pStyle w:val="6"/>
        <w:numPr>
          <w:ilvl w:val="1"/>
          <w:numId w:val="2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技术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要求：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（1）</w:t>
      </w:r>
      <w:r>
        <w:rPr>
          <w:rFonts w:hint="eastAsia"/>
          <w:szCs w:val="24"/>
          <w:highlight w:val="none"/>
        </w:rPr>
        <w:t>▲</w:t>
      </w:r>
      <w:r>
        <w:rPr>
          <w:rFonts w:hint="eastAsia" w:eastAsia="宋体" w:cs="Times New Roman"/>
          <w:szCs w:val="30"/>
          <w:lang w:val="en-US" w:eastAsia="zh-CN"/>
        </w:rPr>
        <w:t>检测模式：基于磁珠法核酸提取和实时荧光PCR检测方法，反映程序含升降温过程，集信息录入、进样、核酸提取与纯化、扩增检测、数据分析、自动化报告全流程，样本上机后至结果报告过程，无需任何手工操作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eastAsia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（2）生物安全：反应过程全部在封闭环境内闭盖完成，全程无需开盖。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eastAsia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（3）检测速度：搭配不同项目检测试剂盒，全流程检测时间可实现≤30分钟。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default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（4）可检测的样本类型：来源于人体样本的多种样本类型包括咽拭子、痰液、血液等。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eastAsia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（5）配套试剂需采用内源性内标，可监控采样和PCR扩增过程。（提供原厂试剂说明书）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eastAsia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（6）检测模块≥4个，单样本检测孔位模块可独立升降温控制，单样本检测孔位可单独设定不同核酸检测项目反应程序。各单样本检测孔位检测孔模块互相不干扰，可实现单样本随到随检且检测时间一致。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default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（7）</w:t>
      </w:r>
      <w:r>
        <w:rPr>
          <w:rFonts w:hint="eastAsia"/>
          <w:szCs w:val="24"/>
          <w:highlight w:val="none"/>
        </w:rPr>
        <w:t>▲</w:t>
      </w:r>
      <w:r>
        <w:rPr>
          <w:rFonts w:hint="eastAsia" w:eastAsia="宋体" w:cs="Times New Roman"/>
          <w:szCs w:val="30"/>
          <w:lang w:val="en-US" w:eastAsia="zh-CN"/>
        </w:rPr>
        <w:t>至少4个荧光通道，荧光强度检测重复性CV≤3%、精密度变异系数CV≤5%，荧光线性|r|≥0.990。</w:t>
      </w:r>
      <w:r>
        <w:rPr>
          <w:rFonts w:hint="default" w:eastAsia="宋体" w:cs="Times New Roman"/>
          <w:szCs w:val="30"/>
          <w:lang w:val="en-US" w:eastAsia="zh-CN"/>
        </w:rPr>
        <w:t>每多</w:t>
      </w:r>
      <w:r>
        <w:rPr>
          <w:rFonts w:hint="eastAsia" w:eastAsia="宋体" w:cs="Times New Roman"/>
          <w:szCs w:val="30"/>
          <w:lang w:val="en-US" w:eastAsia="zh-CN"/>
        </w:rPr>
        <w:t>一个荧光通道</w:t>
      </w:r>
      <w:r>
        <w:rPr>
          <w:rFonts w:hint="default" w:eastAsia="宋体" w:cs="Times New Roman"/>
          <w:szCs w:val="30"/>
          <w:lang w:val="en-US" w:eastAsia="zh-CN"/>
        </w:rPr>
        <w:t>加</w:t>
      </w:r>
      <w:r>
        <w:rPr>
          <w:rFonts w:hint="eastAsia" w:eastAsia="宋体" w:cs="Times New Roman"/>
          <w:szCs w:val="30"/>
          <w:lang w:val="en-US" w:eastAsia="zh-CN"/>
        </w:rPr>
        <w:t>1</w:t>
      </w:r>
      <w:r>
        <w:rPr>
          <w:rFonts w:hint="default" w:eastAsia="宋体" w:cs="Times New Roman"/>
          <w:szCs w:val="30"/>
          <w:lang w:val="en-US" w:eastAsia="zh-CN"/>
        </w:rPr>
        <w:t>分，无</w:t>
      </w:r>
      <w:r>
        <w:rPr>
          <w:rFonts w:hint="eastAsia" w:eastAsia="宋体" w:cs="Times New Roman"/>
          <w:szCs w:val="30"/>
          <w:lang w:val="en-US" w:eastAsia="zh-CN"/>
        </w:rPr>
        <w:t>增加</w:t>
      </w:r>
      <w:r>
        <w:rPr>
          <w:rFonts w:hint="default" w:eastAsia="宋体" w:cs="Times New Roman"/>
          <w:szCs w:val="30"/>
          <w:lang w:val="en-US" w:eastAsia="zh-CN"/>
        </w:rPr>
        <w:t>不扣分。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eastAsia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（8）搭配的试剂盒为单人份包装，试剂预分装入试剂盒，拆封即用。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eastAsia" w:eastAsia="宋体" w:cs="Times New Roman"/>
          <w:color w:val="FF0000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（9）</w:t>
      </w:r>
      <w:r>
        <w:rPr>
          <w:rFonts w:hint="eastAsia"/>
          <w:szCs w:val="24"/>
          <w:highlight w:val="none"/>
        </w:rPr>
        <w:t>▲</w:t>
      </w:r>
      <w:r>
        <w:rPr>
          <w:rFonts w:hint="eastAsia" w:eastAsia="宋体" w:cs="Times New Roman"/>
          <w:szCs w:val="30"/>
          <w:lang w:val="en-US" w:eastAsia="zh-CN"/>
        </w:rPr>
        <w:t>检测项目：需至少可进行4种呼吸道病原体核酸检测（需具有NMPA认证，新冠病毒、甲型流感病毒、乙型流感病毒、肺炎支原体病毒），</w:t>
      </w:r>
      <w:r>
        <w:rPr>
          <w:rFonts w:hint="default" w:eastAsia="宋体" w:cs="Times New Roman"/>
          <w:szCs w:val="30"/>
          <w:lang w:val="en-US" w:eastAsia="zh-CN"/>
        </w:rPr>
        <w:t>每多开展一项加2分，无</w:t>
      </w:r>
      <w:r>
        <w:rPr>
          <w:rFonts w:hint="eastAsia" w:eastAsia="宋体" w:cs="Times New Roman"/>
          <w:szCs w:val="30"/>
          <w:lang w:val="en-US" w:eastAsia="zh-CN"/>
        </w:rPr>
        <w:t>增加</w:t>
      </w:r>
      <w:r>
        <w:rPr>
          <w:rFonts w:hint="default" w:eastAsia="宋体" w:cs="Times New Roman"/>
          <w:szCs w:val="30"/>
          <w:lang w:val="en-US" w:eastAsia="zh-CN"/>
        </w:rPr>
        <w:t>不扣分</w:t>
      </w:r>
      <w:r>
        <w:rPr>
          <w:rFonts w:hint="eastAsia" w:eastAsia="宋体" w:cs="Times New Roman"/>
          <w:szCs w:val="30"/>
          <w:lang w:val="en-US" w:eastAsia="zh-CN"/>
        </w:rPr>
        <w:t>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eastAsia" w:eastAsia="宋体" w:cs="Times New Roman"/>
          <w:color w:val="auto"/>
          <w:szCs w:val="30"/>
          <w:lang w:val="en-US" w:eastAsia="zh-CN"/>
        </w:rPr>
      </w:pPr>
      <w:r>
        <w:rPr>
          <w:rFonts w:hint="eastAsia" w:eastAsia="宋体" w:cs="Times New Roman"/>
          <w:color w:val="auto"/>
          <w:szCs w:val="30"/>
          <w:lang w:val="en-US" w:eastAsia="zh-CN"/>
        </w:rPr>
        <w:t>（10）可进行各类病原体的定性、定量检测。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default" w:eastAsia="宋体" w:cs="Times New Roman"/>
          <w:color w:val="auto"/>
          <w:szCs w:val="30"/>
          <w:lang w:val="en-US" w:eastAsia="zh-CN"/>
        </w:rPr>
      </w:pPr>
      <w:r>
        <w:rPr>
          <w:rFonts w:hint="eastAsia" w:eastAsia="宋体" w:cs="Times New Roman"/>
          <w:color w:val="auto"/>
          <w:szCs w:val="30"/>
          <w:lang w:val="en-US" w:eastAsia="zh-CN"/>
        </w:rPr>
        <w:t>（11）</w:t>
      </w:r>
      <w:r>
        <w:rPr>
          <w:rFonts w:hint="eastAsia" w:eastAsia="宋体" w:cs="Times New Roman"/>
          <w:szCs w:val="30"/>
          <w:lang w:val="en-US" w:eastAsia="zh-CN"/>
        </w:rPr>
        <w:t>新冠病毒核酸检测低限小于200copies/ml，甲型流感病毒、乙型流感病毒、肺炎支原体病毒核酸检测的检测低限小于500copies/ml。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eastAsia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（12）检测结果判读：检测结果体现CT值，辅助临床诊断。</w:t>
      </w:r>
    </w:p>
    <w:p>
      <w:pPr>
        <w:pStyle w:val="6"/>
        <w:widowControl w:val="0"/>
        <w:numPr>
          <w:ilvl w:val="0"/>
          <w:numId w:val="0"/>
        </w:numPr>
        <w:spacing w:line="560" w:lineRule="exact"/>
        <w:jc w:val="both"/>
        <w:rPr>
          <w:rFonts w:hint="default" w:eastAsia="宋体" w:cs="Times New Roman"/>
          <w:szCs w:val="30"/>
          <w:lang w:val="en-US" w:eastAsia="zh-CN"/>
        </w:rPr>
      </w:pPr>
      <w:r>
        <w:rPr>
          <w:rFonts w:hint="eastAsia" w:eastAsia="宋体" w:cs="Times New Roman"/>
          <w:szCs w:val="30"/>
          <w:lang w:val="en-US" w:eastAsia="zh-CN"/>
        </w:rPr>
        <w:t>（13）仪器具有双向数据通讯功能，支持对接院方LIS或HIS系统，费用由供货方承担。</w:t>
      </w:r>
    </w:p>
    <w:p>
      <w:pP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cs="Times New Roman"/>
          <w:kern w:val="2"/>
          <w:sz w:val="30"/>
          <w:szCs w:val="30"/>
          <w:lang w:val="en-US" w:eastAsia="zh-CN" w:bidi="ar-SA"/>
        </w:rPr>
        <w:t>3.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t>试剂耗材</w:t>
      </w:r>
    </w:p>
    <w:p>
      <w:pPr>
        <w:pStyle w:val="2"/>
        <w:ind w:firstLine="600" w:firstLineChars="200"/>
        <w:rPr>
          <w:rFonts w:hint="default"/>
          <w:lang w:val="en-US" w:eastAsia="zh-CN"/>
        </w:rPr>
      </w:pPr>
      <w:r>
        <w:rPr>
          <w:rFonts w:hint="eastAsia"/>
          <w:szCs w:val="24"/>
          <w:highlight w:val="none"/>
        </w:rPr>
        <w:t>▲</w:t>
      </w:r>
      <w:r>
        <w:rPr>
          <w:rFonts w:hint="eastAsia" w:eastAsia="宋体" w:cs="Times New Roman"/>
          <w:kern w:val="2"/>
          <w:sz w:val="30"/>
          <w:szCs w:val="30"/>
          <w:lang w:val="en-US" w:eastAsia="zh-CN" w:bidi="ar-SA"/>
        </w:rPr>
        <w:t>投标人需报出可配套检测项目试剂价格</w:t>
      </w:r>
      <w:r>
        <w:rPr>
          <w:rFonts w:hint="eastAsia" w:eastAsia="宋体" w:cs="Times New Roman"/>
          <w:color w:val="auto"/>
          <w:kern w:val="2"/>
          <w:sz w:val="30"/>
          <w:szCs w:val="30"/>
          <w:lang w:val="en-US" w:eastAsia="zh-CN" w:bidi="ar-SA"/>
        </w:rPr>
        <w:t>，组套项目耗占比需小于38%。</w:t>
      </w:r>
    </w:p>
    <w:p>
      <w:pPr>
        <w:pStyle w:val="6"/>
        <w:numPr>
          <w:ilvl w:val="0"/>
          <w:numId w:val="0"/>
        </w:numPr>
        <w:spacing w:line="560" w:lineRule="exact"/>
        <w:ind w:leftChars="0"/>
        <w:rPr>
          <w:rFonts w:hint="default" w:ascii="Times New Roman" w:hAnsi="Times New Roman" w:eastAsia="宋体" w:cs="Times New Roman"/>
          <w:b/>
          <w:szCs w:val="30"/>
        </w:rPr>
      </w:pPr>
      <w:r>
        <w:rPr>
          <w:rFonts w:hint="eastAsia" w:eastAsia="宋体" w:cs="Times New Roman"/>
          <w:b/>
          <w:szCs w:val="30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szCs w:val="30"/>
        </w:rPr>
        <w:t>售后服务和技术培训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负责安装、调试、提供完善的售后服务措施；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免费提供仪器性能验证及仪器间比对。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color w:val="auto"/>
          <w:szCs w:val="30"/>
        </w:rPr>
      </w:pPr>
      <w:r>
        <w:rPr>
          <w:rFonts w:hint="default" w:ascii="Times New Roman" w:hAnsi="Times New Roman" w:eastAsia="宋体" w:cs="Times New Roman"/>
          <w:color w:val="auto"/>
          <w:szCs w:val="30"/>
          <w:lang w:val="en-US" w:eastAsia="zh-CN"/>
        </w:rPr>
        <w:t>需配备UPS设备，</w:t>
      </w:r>
      <w:r>
        <w:rPr>
          <w:rFonts w:hint="eastAsia" w:eastAsia="宋体" w:cs="Times New Roman"/>
          <w:color w:val="auto"/>
          <w:szCs w:val="30"/>
          <w:lang w:val="en-US" w:eastAsia="zh-CN"/>
        </w:rPr>
        <w:t>数量及</w:t>
      </w:r>
      <w:r>
        <w:rPr>
          <w:rFonts w:hint="default" w:ascii="Times New Roman" w:hAnsi="Times New Roman" w:eastAsia="宋体" w:cs="Times New Roman"/>
          <w:color w:val="auto"/>
          <w:szCs w:val="30"/>
          <w:lang w:val="en-US" w:eastAsia="zh-CN"/>
        </w:rPr>
        <w:t>功率依据科室需要进行提供。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投标产品生产厂家设有办事机构并有维修工程师，并提供联系人及联系方式；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eastAsia"/>
          <w:szCs w:val="24"/>
          <w:highlight w:val="none"/>
        </w:rPr>
        <w:t>▲</w:t>
      </w:r>
      <w:r>
        <w:rPr>
          <w:rFonts w:hint="default" w:ascii="Times New Roman" w:hAnsi="Times New Roman" w:eastAsia="宋体" w:cs="Times New Roman"/>
          <w:szCs w:val="30"/>
        </w:rPr>
        <w:t>设备安装调试、验收合格后整机及所有附件（含第三方产品）</w:t>
      </w:r>
      <w:bookmarkStart w:id="0" w:name="_GoBack"/>
      <w:r>
        <w:rPr>
          <w:rFonts w:hint="default" w:ascii="Times New Roman" w:hAnsi="Times New Roman" w:eastAsia="宋体" w:cs="Times New Roman"/>
          <w:color w:val="FF0000"/>
          <w:szCs w:val="30"/>
        </w:rPr>
        <w:t>免费质保期≥</w:t>
      </w:r>
      <w:r>
        <w:rPr>
          <w:rFonts w:hint="default" w:ascii="Times New Roman" w:hAnsi="Times New Roman" w:eastAsia="宋体" w:cs="Times New Roman"/>
          <w:color w:val="FF0000"/>
          <w:szCs w:val="30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FF0000"/>
          <w:szCs w:val="30"/>
        </w:rPr>
        <w:t>年</w:t>
      </w:r>
      <w:r>
        <w:rPr>
          <w:rFonts w:hint="default" w:ascii="Times New Roman" w:hAnsi="Times New Roman" w:eastAsia="宋体" w:cs="Times New Roman"/>
          <w:color w:val="FF0000"/>
          <w:szCs w:val="30"/>
          <w:lang w:eastAsia="zh-CN"/>
        </w:rPr>
        <w:t>；</w:t>
      </w:r>
      <w:bookmarkEnd w:id="0"/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eastAsia"/>
          <w:szCs w:val="24"/>
          <w:highlight w:val="none"/>
        </w:rPr>
        <w:t>▲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szCs w:val="30"/>
        </w:rPr>
        <w:t>终身维护</w:t>
      </w:r>
      <w:r>
        <w:rPr>
          <w:rFonts w:hint="default" w:ascii="Times New Roman" w:hAnsi="Times New Roman" w:eastAsia="宋体" w:cs="Times New Roman"/>
          <w:szCs w:val="30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30"/>
        </w:rPr>
        <w:t>按照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szCs w:val="30"/>
        </w:rPr>
        <w:t>说明书要求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提供保养</w:t>
      </w:r>
      <w:r>
        <w:rPr>
          <w:rFonts w:hint="default" w:ascii="Times New Roman" w:hAnsi="Times New Roman" w:eastAsia="宋体" w:cs="Times New Roman"/>
          <w:szCs w:val="30"/>
        </w:rPr>
        <w:t>计划及内容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并并严格</w:t>
      </w:r>
      <w:r>
        <w:rPr>
          <w:rFonts w:hint="default" w:ascii="Times New Roman" w:hAnsi="Times New Roman" w:eastAsia="宋体" w:cs="Times New Roman"/>
          <w:szCs w:val="30"/>
        </w:rPr>
        <w:t>执行，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免费提供</w:t>
      </w:r>
      <w:r>
        <w:rPr>
          <w:rFonts w:hint="default" w:ascii="Times New Roman" w:hAnsi="Times New Roman" w:eastAsia="宋体" w:cs="Times New Roman"/>
          <w:szCs w:val="30"/>
        </w:rPr>
        <w:t>设备校准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服务且校准周期</w:t>
      </w:r>
      <w:r>
        <w:rPr>
          <w:rFonts w:hint="default" w:ascii="Times New Roman" w:hAnsi="Times New Roman" w:eastAsia="宋体" w:cs="Times New Roman"/>
          <w:szCs w:val="30"/>
        </w:rPr>
        <w:t>间隔不应超过1年，维修保养及校准均需按科室要求提供规范报告</w:t>
      </w:r>
      <w:r>
        <w:rPr>
          <w:rFonts w:hint="default" w:ascii="Times New Roman" w:hAnsi="Times New Roman" w:eastAsia="宋体" w:cs="Times New Roman"/>
          <w:szCs w:val="30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培训：现场培训直至使用科室会使用</w:t>
      </w:r>
      <w:r>
        <w:rPr>
          <w:rFonts w:hint="default" w:ascii="Times New Roman" w:hAnsi="Times New Roman" w:eastAsia="宋体" w:cs="Times New Roman"/>
          <w:szCs w:val="30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培训内容包括但不限于设备的调试、使用、普通维修维护及保养等；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报修后，2小时内作出响应，12小时内有专业人员到达现场维修，</w:t>
      </w:r>
      <w:r>
        <w:rPr>
          <w:rFonts w:hint="eastAsia" w:eastAsia="宋体" w:cs="Times New Roman"/>
          <w:szCs w:val="30"/>
          <w:lang w:val="en-US" w:eastAsia="zh-CN"/>
        </w:rPr>
        <w:t>维护周期超过10天需提供维修备品</w:t>
      </w:r>
      <w:r>
        <w:rPr>
          <w:rFonts w:hint="default" w:ascii="Times New Roman" w:hAnsi="Times New Roman" w:eastAsia="宋体" w:cs="Times New Roman"/>
          <w:szCs w:val="30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宋体" w:cs="Times New Roman"/>
          <w:b/>
          <w:szCs w:val="30"/>
        </w:rPr>
      </w:pPr>
      <w:r>
        <w:rPr>
          <w:rFonts w:hint="default" w:ascii="Times New Roman" w:hAnsi="Times New Roman" w:eastAsia="宋体" w:cs="Times New Roman"/>
          <w:b/>
          <w:szCs w:val="30"/>
        </w:rPr>
        <w:t>其它事项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请详细提供</w:t>
      </w:r>
      <w:r>
        <w:rPr>
          <w:rFonts w:hint="default" w:ascii="Times New Roman" w:hAnsi="Times New Roman" w:eastAsia="宋体" w:cs="Times New Roman"/>
          <w:szCs w:val="30"/>
          <w:lang w:val="en-US" w:eastAsia="zh-CN"/>
        </w:rPr>
        <w:t>选配件及</w:t>
      </w:r>
      <w:r>
        <w:rPr>
          <w:rFonts w:hint="default" w:ascii="Times New Roman" w:hAnsi="Times New Roman" w:eastAsia="宋体" w:cs="Times New Roman"/>
          <w:szCs w:val="30"/>
        </w:rPr>
        <w:t>易损件目录及投标价；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</w:pPr>
      <w:r>
        <w:rPr>
          <w:rFonts w:hint="default" w:ascii="Times New Roman" w:hAnsi="Times New Roman" w:eastAsia="宋体" w:cs="Times New Roman"/>
          <w:szCs w:val="30"/>
        </w:rPr>
        <w:t>请提供该档次设备的用户名单（包括单位、联系人、电话，云南省内全部用户、省外代表性用户）。</w:t>
      </w:r>
    </w:p>
    <w:p>
      <w:pPr>
        <w:pStyle w:val="2"/>
      </w:pPr>
    </w:p>
    <w:sectPr>
      <w:headerReference r:id="rId3" w:type="default"/>
      <w:pgSz w:w="11906" w:h="16838"/>
      <w:pgMar w:top="567" w:right="1440" w:bottom="567" w:left="1440" w:header="851" w:footer="992" w:gutter="0"/>
      <w:cols w:space="720" w:num="1"/>
      <w:docGrid w:type="line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7364A"/>
    <w:multiLevelType w:val="multilevel"/>
    <w:tmpl w:val="B487364A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EB2BF41F"/>
    <w:multiLevelType w:val="multilevel"/>
    <w:tmpl w:val="EB2BF41F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260" w:hanging="420"/>
      </w:pPr>
    </w:lvl>
    <w:lvl w:ilvl="3" w:tentative="0">
      <w:start w:val="1"/>
      <w:numFmt w:val="lowerRoman"/>
      <w:lvlText w:val="%4."/>
      <w:lvlJc w:val="righ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EE8D9E"/>
    <w:multiLevelType w:val="multilevel"/>
    <w:tmpl w:val="3AEE8D9E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C5978"/>
    <w:rsid w:val="03AA4003"/>
    <w:rsid w:val="04F875ED"/>
    <w:rsid w:val="069C43E2"/>
    <w:rsid w:val="086C30CB"/>
    <w:rsid w:val="091B2129"/>
    <w:rsid w:val="0C396129"/>
    <w:rsid w:val="0D420721"/>
    <w:rsid w:val="0D4469B0"/>
    <w:rsid w:val="12B8571C"/>
    <w:rsid w:val="17AD1A18"/>
    <w:rsid w:val="17EB0D64"/>
    <w:rsid w:val="197304B5"/>
    <w:rsid w:val="1E747CF6"/>
    <w:rsid w:val="21685970"/>
    <w:rsid w:val="2399631D"/>
    <w:rsid w:val="2408469F"/>
    <w:rsid w:val="26452B11"/>
    <w:rsid w:val="26F83025"/>
    <w:rsid w:val="285B7499"/>
    <w:rsid w:val="2EE649CC"/>
    <w:rsid w:val="34BC5978"/>
    <w:rsid w:val="36FF28EC"/>
    <w:rsid w:val="3BF43E0A"/>
    <w:rsid w:val="4041754A"/>
    <w:rsid w:val="41A13687"/>
    <w:rsid w:val="433527BB"/>
    <w:rsid w:val="49CF1CAA"/>
    <w:rsid w:val="4FAD439E"/>
    <w:rsid w:val="4FFE65C6"/>
    <w:rsid w:val="5CA30816"/>
    <w:rsid w:val="5E022C63"/>
    <w:rsid w:val="5F8E16DF"/>
    <w:rsid w:val="6BEB12D5"/>
    <w:rsid w:val="72AB234D"/>
    <w:rsid w:val="7A971CB4"/>
    <w:rsid w:val="7F44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2284</Words>
  <Characters>2376</Characters>
  <Lines>0</Lines>
  <Paragraphs>0</Paragraphs>
  <TotalTime>3</TotalTime>
  <ScaleCrop>false</ScaleCrop>
  <LinksUpToDate>false</LinksUpToDate>
  <CharactersWithSpaces>2381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2025-03-17T09:24:00Z</dcterms:created>
  <dc:creator>吴孟娜</dc:creator>
  <cp:lastModifiedBy>.乄小了个陈</cp:lastModifiedBy>
  <dcterms:modified xsi:type="dcterms:W3CDTF">2025-05-07T07:21:33Z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2CBB89A6B66740EC89EA844A59EE0F2B_13</vt:lpwstr>
  </property>
  <property fmtid="{D5CDD505-2E9C-101B-9397-08002B2CF9AE}" pid="4" name="KSOTemplateDocerSaveRecord">
    <vt:lpwstr>eyJoZGlkIjoiNDI1NGQ4MDY4NjMxYWVlMzc3ODM2NDE0MmU1ODUxYzYiLCJ1c2VySWQiOiI0Njg0NjAzNTQifQ==</vt:lpwstr>
  </property>
</Properties>
</file>