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小标宋_GBK" w:hAnsi="方正小标宋_GBK" w:cs="宋体"/>
          <w:b/>
          <w:bCs/>
          <w:color w:val="000000"/>
          <w:kern w:val="0"/>
          <w:sz w:val="28"/>
          <w:szCs w:val="28"/>
        </w:rPr>
      </w:pPr>
      <w:bookmarkStart w:id="0" w:name="OLE_LINK1"/>
      <w:r>
        <w:rPr>
          <w:rFonts w:hint="eastAsia" w:ascii="方正小标宋_GBK" w:hAnsi="方正小标宋_GBK" w:cs="宋体"/>
          <w:b/>
          <w:bCs/>
          <w:color w:val="000000"/>
          <w:kern w:val="0"/>
          <w:sz w:val="28"/>
          <w:szCs w:val="28"/>
        </w:rPr>
        <w:t>玉溪市人民医院</w:t>
      </w:r>
    </w:p>
    <w:p>
      <w:pPr>
        <w:widowControl/>
        <w:ind w:firstLine="0" w:firstLineChars="0"/>
        <w:jc w:val="center"/>
        <w:rPr>
          <w:rFonts w:hint="eastAsia" w:ascii="方正小标宋_GBK" w:hAnsi="方正小标宋_GBK" w:cs="宋体"/>
          <w:color w:val="000000"/>
          <w:kern w:val="0"/>
          <w:sz w:val="44"/>
          <w:szCs w:val="44"/>
        </w:rPr>
      </w:pPr>
      <w:r>
        <w:rPr>
          <w:rFonts w:hint="eastAsia" w:ascii="方正小标宋_GBK" w:hAnsi="方正小标宋_GBK" w:cs="宋体"/>
          <w:b/>
          <w:bCs/>
          <w:color w:val="000000"/>
          <w:kern w:val="0"/>
          <w:sz w:val="28"/>
          <w:szCs w:val="28"/>
          <w:lang w:val="en-US" w:eastAsia="zh-CN"/>
        </w:rPr>
        <w:t>信息系统</w:t>
      </w:r>
      <w:r>
        <w:rPr>
          <w:rFonts w:hint="eastAsia" w:ascii="方正小标宋_GBK" w:hAnsi="方正小标宋_GBK" w:cs="宋体"/>
          <w:b/>
          <w:bCs/>
          <w:color w:val="000000"/>
          <w:kern w:val="0"/>
          <w:sz w:val="28"/>
          <w:szCs w:val="28"/>
        </w:rPr>
        <w:t>网络安全等级保护测评服务技术要求</w:t>
      </w:r>
      <w:bookmarkEnd w:id="0"/>
    </w:p>
    <w:p>
      <w:pPr>
        <w:numPr>
          <w:ilvl w:val="0"/>
          <w:numId w:val="1"/>
        </w:numPr>
        <w:wordWrap w:val="0"/>
        <w:topLinePunct/>
        <w:ind w:firstLineChars="0"/>
        <w:outlineLvl w:val="0"/>
        <w:rPr>
          <w:rFonts w:ascii="宋体" w:hAnsi="宋体" w:cs="宋体"/>
          <w:b/>
          <w:color w:val="000000"/>
          <w:szCs w:val="24"/>
        </w:rPr>
      </w:pPr>
      <w:r>
        <w:rPr>
          <w:rFonts w:hint="eastAsia" w:ascii="宋体" w:hAnsi="宋体" w:cs="宋体"/>
          <w:b/>
          <w:color w:val="000000"/>
          <w:szCs w:val="24"/>
          <w:lang w:eastAsia="zh-Hans"/>
        </w:rPr>
        <w:t>采购标的需实现的功能或者目标</w:t>
      </w:r>
      <w:r>
        <w:rPr>
          <w:rFonts w:ascii="宋体" w:hAnsi="宋体" w:cs="宋体"/>
          <w:b/>
          <w:color w:val="000000"/>
          <w:szCs w:val="24"/>
          <w:lang w:eastAsia="zh-Hans"/>
        </w:rPr>
        <w:t xml:space="preserve"> </w:t>
      </w:r>
    </w:p>
    <w:p>
      <w:pPr>
        <w:ind w:firstLine="480"/>
        <w:rPr>
          <w:b/>
          <w:color w:val="000000"/>
          <w:szCs w:val="24"/>
        </w:rPr>
      </w:pPr>
      <w:r>
        <w:rPr>
          <w:rFonts w:hint="eastAsia"/>
        </w:rPr>
        <w:t>本项目要求供应商依据国家有关信息系统等级保护的政策与技术标准，提供如下服务：</w:t>
      </w:r>
    </w:p>
    <w:p>
      <w:pPr>
        <w:numPr>
          <w:ilvl w:val="0"/>
          <w:numId w:val="2"/>
        </w:numPr>
        <w:wordWrap w:val="0"/>
        <w:topLinePunct/>
        <w:ind w:firstLine="482"/>
        <w:outlineLvl w:val="1"/>
        <w:rPr>
          <w:rFonts w:hint="eastAsia" w:ascii="宋体" w:hAnsi="宋体" w:cs="宋体"/>
          <w:b/>
          <w:bCs/>
          <w:szCs w:val="24"/>
        </w:rPr>
      </w:pPr>
      <w:r>
        <w:rPr>
          <w:rFonts w:hint="eastAsia" w:ascii="宋体" w:hAnsi="宋体" w:cs="宋体"/>
          <w:b/>
          <w:bCs/>
          <w:szCs w:val="24"/>
        </w:rPr>
        <w:t>项目服务范围</w:t>
      </w:r>
    </w:p>
    <w:tbl>
      <w:tblPr>
        <w:tblStyle w:val="6"/>
        <w:tblW w:w="8707" w:type="dxa"/>
        <w:jc w:val="center"/>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3"/>
        <w:gridCol w:w="127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3" w:type="dxa"/>
            <w:vAlign w:val="center"/>
          </w:tcPr>
          <w:p>
            <w:pPr>
              <w:numPr>
                <w:ilvl w:val="0"/>
                <w:numId w:val="0"/>
              </w:numPr>
              <w:wordWrap w:val="0"/>
              <w:topLinePunct/>
              <w:jc w:val="center"/>
              <w:outlineLvl w:val="1"/>
              <w:rPr>
                <w:rFonts w:hint="default"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信息系统名称</w:t>
            </w:r>
          </w:p>
        </w:tc>
        <w:tc>
          <w:tcPr>
            <w:tcW w:w="1273" w:type="dxa"/>
            <w:vAlign w:val="center"/>
          </w:tcPr>
          <w:p>
            <w:pPr>
              <w:numPr>
                <w:ilvl w:val="0"/>
                <w:numId w:val="0"/>
              </w:numPr>
              <w:wordWrap w:val="0"/>
              <w:topLinePunct/>
              <w:jc w:val="center"/>
              <w:outlineLvl w:val="1"/>
              <w:rPr>
                <w:rFonts w:hint="default"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等保定级</w:t>
            </w:r>
          </w:p>
        </w:tc>
        <w:tc>
          <w:tcPr>
            <w:tcW w:w="2841" w:type="dxa"/>
            <w:vAlign w:val="center"/>
          </w:tcPr>
          <w:p>
            <w:pPr>
              <w:numPr>
                <w:ilvl w:val="0"/>
                <w:numId w:val="0"/>
              </w:numPr>
              <w:wordWrap w:val="0"/>
              <w:topLinePunct/>
              <w:jc w:val="center"/>
              <w:outlineLvl w:val="1"/>
              <w:rPr>
                <w:rFonts w:hint="eastAsia"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服务期（2025-2027年）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3" w:type="dxa"/>
            <w:vAlign w:val="center"/>
          </w:tcPr>
          <w:p>
            <w:pPr>
              <w:numPr>
                <w:ilvl w:val="0"/>
                <w:numId w:val="0"/>
              </w:numPr>
              <w:wordWrap w:val="0"/>
              <w:topLinePunct/>
              <w:jc w:val="center"/>
              <w:outlineLvl w:val="1"/>
              <w:rPr>
                <w:rFonts w:hint="default"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互联网医院管理信息系统</w:t>
            </w:r>
          </w:p>
        </w:tc>
        <w:tc>
          <w:tcPr>
            <w:tcW w:w="1273" w:type="dxa"/>
            <w:vAlign w:val="center"/>
          </w:tcPr>
          <w:p>
            <w:pPr>
              <w:numPr>
                <w:ilvl w:val="0"/>
                <w:numId w:val="0"/>
              </w:numPr>
              <w:wordWrap w:val="0"/>
              <w:topLinePunct/>
              <w:jc w:val="center"/>
              <w:outlineLvl w:val="1"/>
              <w:rPr>
                <w:rFonts w:hint="eastAsia"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三级</w:t>
            </w:r>
          </w:p>
        </w:tc>
        <w:tc>
          <w:tcPr>
            <w:tcW w:w="2841" w:type="dxa"/>
            <w:vAlign w:val="center"/>
          </w:tcPr>
          <w:p>
            <w:pPr>
              <w:numPr>
                <w:ilvl w:val="0"/>
                <w:numId w:val="0"/>
              </w:numPr>
              <w:wordWrap w:val="0"/>
              <w:topLinePunct/>
              <w:jc w:val="center"/>
              <w:outlineLvl w:val="1"/>
              <w:rPr>
                <w:rFonts w:hint="eastAsia"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3" w:type="dxa"/>
            <w:vAlign w:val="center"/>
          </w:tcPr>
          <w:p>
            <w:pPr>
              <w:numPr>
                <w:ilvl w:val="0"/>
                <w:numId w:val="0"/>
              </w:numPr>
              <w:wordWrap w:val="0"/>
              <w:topLinePunct/>
              <w:jc w:val="center"/>
              <w:outlineLvl w:val="1"/>
              <w:rPr>
                <w:rFonts w:hint="default"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医院信息系统（HIS、电子病历、集成平台）</w:t>
            </w:r>
          </w:p>
        </w:tc>
        <w:tc>
          <w:tcPr>
            <w:tcW w:w="1273" w:type="dxa"/>
            <w:vAlign w:val="center"/>
          </w:tcPr>
          <w:p>
            <w:pPr>
              <w:numPr>
                <w:ilvl w:val="0"/>
                <w:numId w:val="0"/>
              </w:numPr>
              <w:wordWrap w:val="0"/>
              <w:topLinePunct/>
              <w:jc w:val="center"/>
              <w:outlineLvl w:val="1"/>
              <w:rPr>
                <w:rFonts w:hint="eastAsia"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三级</w:t>
            </w:r>
          </w:p>
        </w:tc>
        <w:tc>
          <w:tcPr>
            <w:tcW w:w="2841" w:type="dxa"/>
            <w:vAlign w:val="center"/>
          </w:tcPr>
          <w:p>
            <w:pPr>
              <w:numPr>
                <w:ilvl w:val="0"/>
                <w:numId w:val="0"/>
              </w:numPr>
              <w:wordWrap w:val="0"/>
              <w:topLinePunct/>
              <w:jc w:val="center"/>
              <w:outlineLvl w:val="1"/>
              <w:rPr>
                <w:rFonts w:hint="eastAsia" w:ascii="宋体" w:hAnsi="宋体" w:eastAsia="宋体" w:cs="宋体"/>
                <w:b/>
                <w:bCs/>
                <w:szCs w:val="24"/>
                <w:vertAlign w:val="baseline"/>
                <w:lang w:val="en-US" w:eastAsia="zh-CN"/>
              </w:rPr>
            </w:pPr>
            <w:r>
              <w:rPr>
                <w:rFonts w:hint="eastAsia" w:ascii="宋体" w:hAnsi="宋体" w:cs="宋体"/>
                <w:b/>
                <w:bCs/>
                <w:szCs w:val="24"/>
                <w:vertAlign w:val="baseline"/>
                <w:lang w:val="en-US" w:eastAsia="zh-CN"/>
              </w:rPr>
              <w:t>三年</w:t>
            </w:r>
          </w:p>
        </w:tc>
      </w:tr>
    </w:tbl>
    <w:p>
      <w:pPr>
        <w:wordWrap w:val="0"/>
        <w:topLinePunct/>
        <w:ind w:left="0" w:leftChars="0" w:firstLine="480" w:firstLineChars="200"/>
        <w:rPr>
          <w:rFonts w:ascii="宋体" w:hAnsi="宋体" w:cs="宋体"/>
          <w:szCs w:val="24"/>
          <w:lang w:eastAsia="zh-Hans"/>
        </w:rPr>
      </w:pPr>
      <w:r>
        <w:rPr>
          <w:rFonts w:hint="eastAsia" w:ascii="宋体" w:hAnsi="宋体" w:cs="宋体"/>
          <w:szCs w:val="24"/>
          <w:lang w:eastAsia="zh-Hans"/>
        </w:rPr>
        <w:t>服务供应商</w:t>
      </w:r>
      <w:r>
        <w:rPr>
          <w:rFonts w:hint="eastAsia" w:ascii="宋体" w:hAnsi="宋体" w:cs="宋体"/>
          <w:szCs w:val="24"/>
        </w:rPr>
        <w:t>应</w:t>
      </w:r>
      <w:r>
        <w:rPr>
          <w:rFonts w:hint="eastAsia" w:ascii="宋体" w:hAnsi="宋体" w:cs="宋体"/>
          <w:szCs w:val="24"/>
          <w:lang w:eastAsia="zh-Hans"/>
        </w:rPr>
        <w:t>根据</w:t>
      </w:r>
      <w:r>
        <w:rPr>
          <w:rFonts w:hint="eastAsia" w:ascii="宋体" w:hAnsi="宋体" w:cs="宋体"/>
          <w:szCs w:val="24"/>
        </w:rPr>
        <w:t>国家最新网络安全等级保护</w:t>
      </w:r>
      <w:r>
        <w:rPr>
          <w:rFonts w:hint="eastAsia" w:ascii="宋体" w:hAnsi="宋体" w:cs="宋体"/>
          <w:szCs w:val="24"/>
          <w:lang w:eastAsia="zh-Hans"/>
        </w:rPr>
        <w:t>相关要求，结合</w:t>
      </w:r>
      <w:r>
        <w:t>玉溪市人民医院</w:t>
      </w:r>
      <w:r>
        <w:rPr>
          <w:rFonts w:hint="eastAsia"/>
        </w:rPr>
        <w:t>的实际情况，</w:t>
      </w:r>
      <w:r>
        <w:rPr>
          <w:rFonts w:hint="eastAsia"/>
          <w:lang w:val="en-US" w:eastAsia="zh-CN"/>
        </w:rPr>
        <w:t>发现安全存在问题，并</w:t>
      </w:r>
      <w:r>
        <w:rPr>
          <w:rFonts w:hint="eastAsia" w:ascii="宋体" w:hAnsi="宋体" w:cs="宋体"/>
          <w:szCs w:val="24"/>
        </w:rPr>
        <w:t>提出合理化建议，协助医院逐年完成网络安全等保测评工作。</w:t>
      </w:r>
    </w:p>
    <w:p>
      <w:pPr>
        <w:wordWrap w:val="0"/>
        <w:topLinePunct/>
        <w:ind w:firstLine="482"/>
        <w:outlineLvl w:val="1"/>
        <w:rPr>
          <w:rFonts w:ascii="宋体" w:hAnsi="宋体" w:cs="宋体"/>
          <w:b/>
          <w:bCs/>
          <w:szCs w:val="24"/>
        </w:rPr>
      </w:pPr>
      <w:r>
        <w:rPr>
          <w:rFonts w:hint="eastAsia" w:ascii="宋体" w:hAnsi="宋体" w:cs="宋体"/>
          <w:b/>
          <w:bCs/>
          <w:szCs w:val="24"/>
        </w:rPr>
        <w:t>2</w:t>
      </w:r>
      <w:r>
        <w:rPr>
          <w:rFonts w:hint="eastAsia" w:ascii="宋体" w:hAnsi="宋体" w:cs="宋体"/>
          <w:b/>
          <w:bCs/>
          <w:szCs w:val="24"/>
          <w:lang w:eastAsia="zh-Hans"/>
        </w:rPr>
        <w:t>、信息系统等保测评服务</w:t>
      </w:r>
    </w:p>
    <w:p>
      <w:pPr>
        <w:ind w:firstLine="480"/>
        <w:rPr>
          <w:lang w:eastAsia="zh-Hans"/>
        </w:rPr>
      </w:pPr>
      <w:r>
        <w:rPr>
          <w:rFonts w:hint="eastAsia"/>
          <w:lang w:eastAsia="zh-Hans"/>
        </w:rPr>
        <w:t>服务供应商依据网络安全等级保护相关标准，</w:t>
      </w:r>
      <w:r>
        <w:rPr>
          <w:rFonts w:hint="eastAsia"/>
          <w:lang w:val="en-US" w:eastAsia="zh-CN"/>
        </w:rPr>
        <w:t>应包含但不限于</w:t>
      </w:r>
      <w:r>
        <w:rPr>
          <w:rFonts w:hint="eastAsia"/>
          <w:lang w:eastAsia="zh-Hans"/>
        </w:rPr>
        <w:t>从安全物理环境、安全通信网络、安全区域边界、安全计算环境、安全管理中心、安全管理制度、安全管理机构、安全管理人员、安全建设管理、安全运维管理十个层面开展测评工作，输出网络安全等级保护测评差距分析报告。</w:t>
      </w:r>
    </w:p>
    <w:p>
      <w:pPr>
        <w:wordWrap w:val="0"/>
        <w:topLinePunct/>
        <w:ind w:firstLine="482"/>
        <w:outlineLvl w:val="1"/>
        <w:rPr>
          <w:rFonts w:ascii="宋体" w:hAnsi="宋体" w:cs="宋体"/>
          <w:b/>
          <w:bCs/>
          <w:szCs w:val="24"/>
        </w:rPr>
      </w:pPr>
      <w:r>
        <w:rPr>
          <w:rFonts w:hint="eastAsia" w:ascii="宋体" w:hAnsi="宋体" w:cs="宋体"/>
          <w:b/>
          <w:bCs/>
          <w:szCs w:val="24"/>
        </w:rPr>
        <w:t>3</w:t>
      </w:r>
      <w:r>
        <w:rPr>
          <w:rFonts w:hint="eastAsia" w:ascii="宋体" w:hAnsi="宋体" w:cs="宋体"/>
          <w:b/>
          <w:bCs/>
          <w:szCs w:val="24"/>
          <w:lang w:eastAsia="zh-Hans"/>
        </w:rPr>
        <w:t>、</w:t>
      </w:r>
      <w:r>
        <w:rPr>
          <w:rFonts w:hint="eastAsia" w:ascii="宋体" w:hAnsi="宋体" w:cs="宋体"/>
          <w:b/>
          <w:bCs/>
          <w:szCs w:val="24"/>
        </w:rPr>
        <w:t>信息安全等级保护整改建议和指导服务</w:t>
      </w:r>
    </w:p>
    <w:p>
      <w:pPr>
        <w:ind w:firstLine="480"/>
        <w:rPr>
          <w:lang w:eastAsia="zh-Hans"/>
        </w:rPr>
      </w:pPr>
      <w:r>
        <w:rPr>
          <w:rFonts w:hint="eastAsia"/>
          <w:lang w:eastAsia="zh-Hans"/>
        </w:rPr>
        <w:t>服务供应商根据医院信息系统等级保护测评情况，对系统发现的网络安全问题，向采购单位提供整改、加固建议，协助、指导采购单位做好整改工作。服务供应商根据系统往年的测评问题情况，向采购单位提出系统针对性的整改、加固建议，切实帮助采购单位对系统安全问题进行治理</w:t>
      </w:r>
      <w:r>
        <w:rPr>
          <w:rFonts w:hint="eastAsia"/>
        </w:rPr>
        <w:t>，直到达到国家三级等保要求为止</w:t>
      </w:r>
      <w:r>
        <w:rPr>
          <w:rFonts w:hint="eastAsia"/>
          <w:lang w:eastAsia="zh-Hans"/>
        </w:rPr>
        <w:t>。</w:t>
      </w:r>
    </w:p>
    <w:p>
      <w:pPr>
        <w:numPr>
          <w:ilvl w:val="0"/>
          <w:numId w:val="1"/>
        </w:numPr>
        <w:wordWrap w:val="0"/>
        <w:topLinePunct/>
        <w:ind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采购标的执行的标准规范</w:t>
      </w:r>
    </w:p>
    <w:p>
      <w:pPr>
        <w:ind w:firstLine="480"/>
        <w:rPr>
          <w:rFonts w:ascii="宋体" w:hAnsi="宋体" w:cs="宋体"/>
          <w:bCs/>
        </w:rPr>
      </w:pPr>
      <w:r>
        <w:rPr>
          <w:rFonts w:hint="eastAsia" w:ascii="宋体" w:hAnsi="宋体" w:cs="宋体"/>
          <w:bCs/>
        </w:rPr>
        <w:t>按照如下国家发布的法律及等级保护相关标准</w:t>
      </w:r>
      <w:r>
        <w:rPr>
          <w:rFonts w:hint="eastAsia" w:ascii="宋体" w:hAnsi="宋体" w:cs="宋体"/>
          <w:szCs w:val="24"/>
        </w:rPr>
        <w:t>文件要求开展信息系统测评工作</w:t>
      </w:r>
      <w:r>
        <w:rPr>
          <w:rFonts w:hint="eastAsia" w:ascii="宋体" w:hAnsi="宋体" w:cs="宋体"/>
          <w:bCs/>
        </w:rPr>
        <w:t>：</w:t>
      </w:r>
    </w:p>
    <w:p>
      <w:pPr>
        <w:ind w:firstLine="480"/>
        <w:rPr>
          <w:rFonts w:ascii="宋体" w:hAnsi="宋体" w:cs="宋体"/>
          <w:bCs/>
        </w:rPr>
      </w:pPr>
      <w:r>
        <w:rPr>
          <w:rFonts w:hint="eastAsia" w:ascii="宋体" w:hAnsi="宋体" w:cs="宋体"/>
          <w:bCs/>
        </w:rPr>
        <w:t>《中华人民共和国网络安全法》 中华人民共和国主席令 第三十五号</w:t>
      </w:r>
    </w:p>
    <w:p>
      <w:pPr>
        <w:ind w:firstLine="480"/>
        <w:rPr>
          <w:rFonts w:ascii="宋体" w:hAnsi="宋体" w:cs="宋体"/>
          <w:bCs/>
        </w:rPr>
      </w:pPr>
      <w:r>
        <w:rPr>
          <w:rFonts w:hint="eastAsia" w:ascii="宋体" w:hAnsi="宋体" w:cs="宋体"/>
          <w:bCs/>
        </w:rPr>
        <w:t>《计算机信息系统 安全保护等级划分准则》GB 17859-1999</w:t>
      </w:r>
    </w:p>
    <w:p>
      <w:pPr>
        <w:ind w:firstLine="480"/>
        <w:rPr>
          <w:rFonts w:ascii="宋体" w:hAnsi="宋体" w:cs="宋体"/>
          <w:bCs/>
        </w:rPr>
      </w:pPr>
      <w:r>
        <w:rPr>
          <w:rFonts w:hint="eastAsia" w:ascii="宋体" w:hAnsi="宋体" w:cs="宋体"/>
          <w:bCs/>
        </w:rPr>
        <w:t>《信息安全技术  网络安全等级保护基本要求》GBT 22239-2019</w:t>
      </w:r>
    </w:p>
    <w:p>
      <w:pPr>
        <w:ind w:firstLine="480"/>
        <w:rPr>
          <w:rFonts w:ascii="宋体" w:hAnsi="宋体" w:cs="宋体"/>
          <w:bCs/>
        </w:rPr>
      </w:pPr>
      <w:r>
        <w:rPr>
          <w:rFonts w:hint="eastAsia" w:ascii="宋体" w:hAnsi="宋体" w:cs="宋体"/>
          <w:bCs/>
        </w:rPr>
        <w:t>《信息安全技术  网络安全等级保护安全设计技术要求》GBT 25070-2019</w:t>
      </w:r>
    </w:p>
    <w:p>
      <w:pPr>
        <w:ind w:firstLine="480"/>
        <w:rPr>
          <w:rFonts w:ascii="宋体" w:hAnsi="宋体" w:cs="宋体"/>
          <w:bCs/>
        </w:rPr>
      </w:pPr>
      <w:r>
        <w:rPr>
          <w:rFonts w:hint="eastAsia" w:ascii="宋体" w:hAnsi="宋体" w:cs="宋体"/>
          <w:bCs/>
        </w:rPr>
        <w:t>《信息安全技术  网络安全等级保护测评要求》GBT 28448-2019</w:t>
      </w:r>
    </w:p>
    <w:p>
      <w:pPr>
        <w:ind w:firstLine="480"/>
        <w:rPr>
          <w:rFonts w:ascii="宋体" w:hAnsi="宋体" w:cs="宋体"/>
          <w:bCs/>
        </w:rPr>
      </w:pPr>
      <w:r>
        <w:rPr>
          <w:rFonts w:hint="eastAsia" w:ascii="宋体" w:hAnsi="宋体" w:cs="宋体"/>
          <w:bCs/>
        </w:rPr>
        <w:t>《信息安全技术  网络安全等级保护测评过程指南》GBT 28449-2018</w:t>
      </w:r>
    </w:p>
    <w:p>
      <w:pPr>
        <w:ind w:firstLine="480"/>
        <w:rPr>
          <w:rFonts w:ascii="宋体" w:hAnsi="宋体" w:cs="宋体"/>
          <w:bCs/>
        </w:rPr>
      </w:pPr>
      <w:r>
        <w:rPr>
          <w:rFonts w:hint="eastAsia" w:ascii="宋体" w:hAnsi="宋体" w:cs="宋体"/>
          <w:bCs/>
        </w:rPr>
        <w:t>《信息安全技术  网络安全等级保护定级指南》GBT 22240-2020</w:t>
      </w:r>
    </w:p>
    <w:p>
      <w:pPr>
        <w:ind w:firstLine="480"/>
        <w:rPr>
          <w:rFonts w:ascii="宋体" w:hAnsi="宋体" w:cs="宋体"/>
          <w:bCs/>
        </w:rPr>
      </w:pPr>
      <w:r>
        <w:rPr>
          <w:rFonts w:hint="eastAsia" w:ascii="宋体" w:hAnsi="宋体" w:cs="宋体"/>
          <w:bCs/>
        </w:rPr>
        <w:t>《信息安全技术  网络安全等级保护测试评估技术指南》GBT 36627-2018</w:t>
      </w:r>
    </w:p>
    <w:p>
      <w:pPr>
        <w:ind w:firstLine="480"/>
        <w:rPr>
          <w:rFonts w:ascii="宋体" w:hAnsi="宋体" w:cs="宋体"/>
          <w:bCs/>
        </w:rPr>
      </w:pPr>
      <w:r>
        <w:rPr>
          <w:rFonts w:hint="eastAsia" w:ascii="宋体" w:hAnsi="宋体" w:cs="宋体"/>
          <w:bCs/>
        </w:rPr>
        <w:t>《信息安全技术  网络安全等级保护安全管理中心技术要求》GB∕T 36958-2018</w:t>
      </w:r>
    </w:p>
    <w:p>
      <w:pPr>
        <w:ind w:firstLine="480"/>
        <w:rPr>
          <w:rFonts w:ascii="宋体" w:hAnsi="宋体" w:cs="宋体"/>
          <w:bCs/>
        </w:rPr>
      </w:pPr>
      <w:r>
        <w:rPr>
          <w:rFonts w:hint="eastAsia" w:ascii="宋体" w:hAnsi="宋体" w:cs="宋体"/>
          <w:bCs/>
        </w:rPr>
        <w:t>《信息安全技术  网络安全等级保护测评机构能力要求和评估规范》GBT 36959-2018</w:t>
      </w:r>
    </w:p>
    <w:p>
      <w:pPr>
        <w:ind w:firstLine="480"/>
        <w:rPr>
          <w:rFonts w:ascii="宋体" w:hAnsi="宋体" w:cs="宋体"/>
          <w:bCs/>
        </w:rPr>
      </w:pPr>
      <w:r>
        <w:rPr>
          <w:rFonts w:hint="eastAsia" w:ascii="宋体" w:hAnsi="宋体" w:cs="宋体"/>
          <w:bCs/>
        </w:rPr>
        <w:t>《信息安全技术  网络安全等级保护实施指南》GB/T 25058-20190</w:t>
      </w:r>
    </w:p>
    <w:p>
      <w:pPr>
        <w:numPr>
          <w:ilvl w:val="0"/>
          <w:numId w:val="1"/>
        </w:numPr>
        <w:wordWrap w:val="0"/>
        <w:topLinePunct/>
        <w:ind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采购标的需满足的服务标准、期限、效率等要求。</w:t>
      </w:r>
    </w:p>
    <w:p>
      <w:pPr>
        <w:wordWrap w:val="0"/>
        <w:topLinePunct/>
        <w:ind w:firstLine="0"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（一）网络安全等级保护测评技术要求</w:t>
      </w:r>
    </w:p>
    <w:p>
      <w:pPr>
        <w:ind w:firstLine="480"/>
        <w:rPr>
          <w:rFonts w:ascii="宋体" w:hAnsi="宋体" w:cs="宋体"/>
          <w:bCs/>
        </w:rPr>
      </w:pPr>
      <w:r>
        <w:rPr>
          <w:rFonts w:hint="eastAsia" w:ascii="宋体" w:hAnsi="宋体" w:cs="宋体"/>
          <w:bCs/>
        </w:rPr>
        <w:t>根据网络安全相关要求，应逐年对</w:t>
      </w:r>
      <w:r>
        <w:rPr>
          <w:rFonts w:hint="eastAsia" w:ascii="宋体" w:hAnsi="宋体" w:cs="宋体"/>
          <w:szCs w:val="24"/>
        </w:rPr>
        <w:t>玉溪市人民医院</w:t>
      </w:r>
      <w:r>
        <w:rPr>
          <w:rFonts w:hint="eastAsia" w:ascii="宋体" w:hAnsi="宋体" w:cs="宋体"/>
          <w:bCs/>
        </w:rPr>
        <w:t>在当地监管部门进行备案的信息系统进行网络安全等级保护测评。</w:t>
      </w:r>
    </w:p>
    <w:p>
      <w:pPr>
        <w:pStyle w:val="8"/>
        <w:numPr>
          <w:ilvl w:val="0"/>
          <w:numId w:val="3"/>
        </w:numPr>
        <w:topLinePunct/>
        <w:ind w:left="426" w:firstLineChars="0"/>
        <w:outlineLvl w:val="1"/>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服务周期和地点要求</w:t>
      </w:r>
    </w:p>
    <w:p>
      <w:pPr>
        <w:ind w:firstLine="480"/>
      </w:pPr>
      <w:r>
        <w:rPr>
          <w:rFonts w:hint="eastAsia"/>
        </w:rPr>
        <w:t>在本项目约定的服务要求基础上，根据实际情况与用户方，在服务周期和服务地点等方面进行再约定。</w:t>
      </w:r>
    </w:p>
    <w:p>
      <w:pPr>
        <w:pStyle w:val="8"/>
        <w:numPr>
          <w:ilvl w:val="0"/>
          <w:numId w:val="3"/>
        </w:numPr>
        <w:topLinePunct/>
        <w:ind w:left="426" w:firstLineChars="0"/>
        <w:outlineLvl w:val="1"/>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测评服务标准规范要求</w:t>
      </w:r>
    </w:p>
    <w:p>
      <w:pPr>
        <w:ind w:firstLine="480"/>
        <w:rPr>
          <w:b/>
          <w:bCs/>
        </w:rPr>
      </w:pPr>
      <w:r>
        <w:rPr>
          <w:rFonts w:hint="eastAsia"/>
        </w:rPr>
        <w:t>等级保护测评要求：按照GB/T22239-2019《信息安全技术 网络安全等级保护基本要求》、GB/T25070-2019《信息安全技术 网络安全等级保护安全设计技术要求》、GB/T28448-2019《信息安全技术 网络安全等级保护测评要求》和GB/T28449-2018《信息安全技术 网络安全等级保护测评过程指南》文件要求开展信息系统测评工作。</w:t>
      </w:r>
    </w:p>
    <w:p>
      <w:pPr>
        <w:pStyle w:val="8"/>
        <w:numPr>
          <w:ilvl w:val="0"/>
          <w:numId w:val="3"/>
        </w:numPr>
        <w:topLinePunct/>
        <w:ind w:left="426" w:firstLineChars="0"/>
        <w:outlineLvl w:val="1"/>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测评能力要求</w:t>
      </w:r>
    </w:p>
    <w:p>
      <w:pPr>
        <w:pStyle w:val="8"/>
        <w:numPr>
          <w:ilvl w:val="0"/>
          <w:numId w:val="4"/>
        </w:numPr>
        <w:ind w:firstLineChars="0"/>
        <w:rPr>
          <w:b/>
          <w:bCs/>
        </w:rPr>
      </w:pPr>
      <w:bookmarkStart w:id="1" w:name="_Toc469909031"/>
      <w:r>
        <w:rPr>
          <w:rFonts w:hint="eastAsia"/>
          <w:b/>
          <w:bCs/>
        </w:rPr>
        <w:t>测评服务要求</w:t>
      </w:r>
    </w:p>
    <w:p>
      <w:pPr>
        <w:ind w:firstLine="480"/>
      </w:pPr>
      <w:r>
        <w:rPr>
          <w:rFonts w:hint="eastAsia"/>
        </w:rPr>
        <w:t>提供</w:t>
      </w:r>
      <w:r>
        <w:t xml:space="preserve"> 7</w:t>
      </w:r>
      <w:r>
        <w:rPr>
          <w:rFonts w:hint="eastAsia"/>
        </w:rPr>
        <w:t>×</w:t>
      </w:r>
      <w:r>
        <w:t xml:space="preserve">24 </w:t>
      </w:r>
      <w:r>
        <w:rPr>
          <w:rFonts w:hint="eastAsia"/>
        </w:rPr>
        <w:t>小时响应，提供完善现场保障服务，完成定级备案，提供完整的实施和现场保障方案。方案应包含：在项目实施过程中需对测评的信息系统提供数据保密协议，对系统的数据不外泄，不影响信息系统的正常使用。对信息系统的使用与测评实行规范化、流程化，提高工作效率。在项目全过程中，每周和每月需提交周报、月报，有需要定期举行项目例会，确保相关方能及时了解项目进展情况和相关信息。</w:t>
      </w:r>
    </w:p>
    <w:p>
      <w:pPr>
        <w:pStyle w:val="8"/>
        <w:numPr>
          <w:ilvl w:val="0"/>
          <w:numId w:val="4"/>
        </w:numPr>
        <w:ind w:firstLineChars="0"/>
        <w:rPr>
          <w:b/>
          <w:bCs/>
        </w:rPr>
      </w:pPr>
      <w:r>
        <w:rPr>
          <w:rFonts w:hint="eastAsia"/>
          <w:b/>
          <w:bCs/>
        </w:rPr>
        <w:t>测评人员要求</w:t>
      </w:r>
    </w:p>
    <w:p>
      <w:pPr>
        <w:ind w:firstLine="480"/>
      </w:pPr>
      <w:r>
        <w:rPr>
          <w:rFonts w:hint="eastAsia"/>
        </w:rPr>
        <w:t>供应商参与业务方项目组的成员至少</w:t>
      </w:r>
      <w:r>
        <w:t>5</w:t>
      </w:r>
      <w:r>
        <w:rPr>
          <w:rFonts w:hint="eastAsia"/>
        </w:rPr>
        <w:t>人，参与项目的人员必须具备网络安全等级保护测评师资质（提供资质证书复印件），并提供现场服务。</w:t>
      </w:r>
    </w:p>
    <w:p>
      <w:pPr>
        <w:snapToGrid w:val="0"/>
        <w:ind w:firstLine="480"/>
      </w:pPr>
      <w:r>
        <w:rPr>
          <w:rFonts w:hint="eastAsia"/>
        </w:rPr>
        <w:t>供应商必须成立等级保护测评项目组，由项目负责人统一负责，项目负责人须具有一定的技术管理知识和经验，能够容易地与客户沟通，能够很好地执行并完成测评服务工作，并能根据一些特殊的情况可以适当增加服务人员，接受采购人的统一管理。</w:t>
      </w:r>
    </w:p>
    <w:p>
      <w:pPr>
        <w:snapToGrid w:val="0"/>
        <w:ind w:firstLine="240" w:firstLineChars="100"/>
      </w:pPr>
      <w:r>
        <w:rPr>
          <w:rFonts w:hint="eastAsia"/>
        </w:rPr>
        <w:t>供应商派驻的测评项目负责人和测评服务人员必须固定，如有变更，必须经采购人同意并签字确认。供应商必须提供人员管理及配备方案，并确保其人员的稳定性。</w:t>
      </w:r>
    </w:p>
    <w:p>
      <w:pPr>
        <w:pStyle w:val="8"/>
        <w:numPr>
          <w:ilvl w:val="0"/>
          <w:numId w:val="3"/>
        </w:numPr>
        <w:topLinePunct/>
        <w:ind w:left="426" w:firstLineChars="0"/>
        <w:outlineLvl w:val="1"/>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测评内容要求</w:t>
      </w:r>
    </w:p>
    <w:p>
      <w:pPr>
        <w:pStyle w:val="8"/>
        <w:numPr>
          <w:ilvl w:val="0"/>
          <w:numId w:val="5"/>
        </w:numPr>
        <w:ind w:firstLineChars="0"/>
        <w:rPr>
          <w:b/>
          <w:bCs/>
        </w:rPr>
      </w:pPr>
      <w:r>
        <w:rPr>
          <w:rFonts w:hint="eastAsia"/>
          <w:b/>
          <w:bCs/>
        </w:rPr>
        <w:t>安全技术测评</w:t>
      </w:r>
      <w:bookmarkEnd w:id="1"/>
    </w:p>
    <w:p>
      <w:pPr>
        <w:adjustRightInd w:val="0"/>
        <w:snapToGrid w:val="0"/>
        <w:ind w:firstLine="480"/>
        <w:rPr>
          <w:rFonts w:ascii="宋体" w:hAnsi="宋体"/>
          <w:color w:val="000000"/>
          <w:szCs w:val="21"/>
        </w:rPr>
      </w:pPr>
      <w:r>
        <w:rPr>
          <w:rFonts w:hint="eastAsia" w:ascii="宋体" w:hAnsi="宋体"/>
          <w:color w:val="000000"/>
          <w:szCs w:val="21"/>
        </w:rPr>
        <w:t>主要包括：物理安全技术测评、网络安全技术测评、主机安全技术测评、应用安全技术测评、数据安全与备份恢复技术测评等五个层面上的测评。</w:t>
      </w:r>
    </w:p>
    <w:p>
      <w:pPr>
        <w:ind w:firstLine="482"/>
        <w:rPr>
          <w:b/>
          <w:bCs/>
        </w:rPr>
      </w:pPr>
      <w:r>
        <w:rPr>
          <w:rFonts w:hint="eastAsia"/>
          <w:b/>
          <w:bCs/>
        </w:rPr>
        <w:t>1）物理安全</w:t>
      </w:r>
    </w:p>
    <w:p>
      <w:pPr>
        <w:ind w:firstLine="480"/>
      </w:pPr>
      <w:r>
        <w:rPr>
          <w:rFonts w:hint="eastAsia"/>
        </w:rPr>
        <w:t>物理安全主要涉及的方面包括环境安全（防火、防水、防雷击等），设备和介质的防盗窃防破坏等方面。须测评以下十个控制点：</w:t>
      </w:r>
    </w:p>
    <w:p>
      <w:pPr>
        <w:ind w:firstLine="480"/>
      </w:pPr>
      <w:r>
        <w:rPr>
          <w:rFonts w:hint="eastAsia"/>
        </w:rPr>
        <w:t>控制点一：物理位置的选择；</w:t>
      </w:r>
    </w:p>
    <w:p>
      <w:pPr>
        <w:ind w:firstLine="480"/>
      </w:pPr>
      <w:r>
        <w:rPr>
          <w:rFonts w:hint="eastAsia"/>
        </w:rPr>
        <w:t>控制点二：物理访问控制；</w:t>
      </w:r>
    </w:p>
    <w:p>
      <w:pPr>
        <w:ind w:firstLine="480"/>
      </w:pPr>
      <w:r>
        <w:rPr>
          <w:rFonts w:hint="eastAsia"/>
        </w:rPr>
        <w:t>控制点三：防盗窃和防破坏；</w:t>
      </w:r>
    </w:p>
    <w:p>
      <w:pPr>
        <w:ind w:firstLine="480"/>
      </w:pPr>
      <w:r>
        <w:rPr>
          <w:rFonts w:hint="eastAsia"/>
        </w:rPr>
        <w:t>控制点四：防雷击；</w:t>
      </w:r>
    </w:p>
    <w:p>
      <w:pPr>
        <w:ind w:firstLine="480"/>
      </w:pPr>
      <w:r>
        <w:rPr>
          <w:rFonts w:hint="eastAsia"/>
        </w:rPr>
        <w:t>控制点五：防火；</w:t>
      </w:r>
    </w:p>
    <w:p>
      <w:pPr>
        <w:ind w:firstLine="480"/>
      </w:pPr>
      <w:r>
        <w:rPr>
          <w:rFonts w:hint="eastAsia"/>
        </w:rPr>
        <w:t>控制点六：防水和防潮；</w:t>
      </w:r>
    </w:p>
    <w:p>
      <w:pPr>
        <w:ind w:firstLine="480"/>
      </w:pPr>
      <w:r>
        <w:rPr>
          <w:rFonts w:hint="eastAsia"/>
        </w:rPr>
        <w:t>控制点七：防静电；</w:t>
      </w:r>
    </w:p>
    <w:p>
      <w:pPr>
        <w:ind w:firstLine="480"/>
      </w:pPr>
      <w:r>
        <w:rPr>
          <w:rFonts w:hint="eastAsia"/>
        </w:rPr>
        <w:t>控制点八：温湿度控制；</w:t>
      </w:r>
    </w:p>
    <w:p>
      <w:pPr>
        <w:ind w:firstLine="480"/>
      </w:pPr>
      <w:r>
        <w:rPr>
          <w:rFonts w:hint="eastAsia"/>
        </w:rPr>
        <w:t>控制点九：电力供应；</w:t>
      </w:r>
    </w:p>
    <w:p>
      <w:pPr>
        <w:ind w:firstLine="480"/>
      </w:pPr>
      <w:r>
        <w:rPr>
          <w:rFonts w:hint="eastAsia"/>
        </w:rPr>
        <w:t>控制点十：电磁防护；</w:t>
      </w:r>
    </w:p>
    <w:p>
      <w:pPr>
        <w:ind w:firstLine="482"/>
        <w:rPr>
          <w:b/>
          <w:bCs/>
        </w:rPr>
      </w:pPr>
      <w:r>
        <w:rPr>
          <w:rFonts w:hint="eastAsia"/>
          <w:b/>
          <w:bCs/>
        </w:rPr>
        <w:t>2）网络安全</w:t>
      </w:r>
    </w:p>
    <w:p>
      <w:pPr>
        <w:ind w:firstLine="480"/>
      </w:pPr>
      <w:r>
        <w:rPr>
          <w:rFonts w:hint="eastAsia"/>
        </w:rPr>
        <w:t>网络安全主要涉及网络结构、网络边界以及网络设备自身安全等。须测评以下七个控制点：</w:t>
      </w:r>
    </w:p>
    <w:p>
      <w:pPr>
        <w:ind w:firstLine="480"/>
      </w:pPr>
      <w:r>
        <w:rPr>
          <w:rFonts w:hint="eastAsia"/>
        </w:rPr>
        <w:t>控制点一：结构安全；</w:t>
      </w:r>
    </w:p>
    <w:p>
      <w:pPr>
        <w:ind w:firstLine="480"/>
      </w:pPr>
      <w:r>
        <w:rPr>
          <w:rFonts w:hint="eastAsia"/>
        </w:rPr>
        <w:t>控制点二：访问控制；</w:t>
      </w:r>
    </w:p>
    <w:p>
      <w:pPr>
        <w:ind w:firstLine="480"/>
      </w:pPr>
      <w:r>
        <w:rPr>
          <w:rFonts w:hint="eastAsia"/>
        </w:rPr>
        <w:t>控制点三：安全审计；</w:t>
      </w:r>
    </w:p>
    <w:p>
      <w:pPr>
        <w:ind w:firstLine="480"/>
      </w:pPr>
      <w:r>
        <w:rPr>
          <w:rFonts w:hint="eastAsia"/>
        </w:rPr>
        <w:t>控制点四：边界完整性检查；</w:t>
      </w:r>
    </w:p>
    <w:p>
      <w:pPr>
        <w:ind w:firstLine="480"/>
      </w:pPr>
      <w:r>
        <w:rPr>
          <w:rFonts w:hint="eastAsia"/>
        </w:rPr>
        <w:t>控制点五：入侵防范；</w:t>
      </w:r>
    </w:p>
    <w:p>
      <w:pPr>
        <w:ind w:firstLine="480"/>
      </w:pPr>
      <w:r>
        <w:rPr>
          <w:rFonts w:hint="eastAsia"/>
        </w:rPr>
        <w:t>控制点六：恶意代码防范；</w:t>
      </w:r>
    </w:p>
    <w:p>
      <w:pPr>
        <w:ind w:firstLine="480"/>
      </w:pPr>
      <w:r>
        <w:rPr>
          <w:rFonts w:hint="eastAsia"/>
        </w:rPr>
        <w:t>控制点七：网络设备防护；</w:t>
      </w:r>
    </w:p>
    <w:p>
      <w:pPr>
        <w:ind w:firstLine="482"/>
        <w:rPr>
          <w:b/>
          <w:bCs/>
        </w:rPr>
      </w:pPr>
      <w:r>
        <w:rPr>
          <w:rFonts w:hint="eastAsia"/>
          <w:b/>
          <w:bCs/>
        </w:rPr>
        <w:t>3）主机（数据库）安全</w:t>
      </w:r>
    </w:p>
    <w:p>
      <w:pPr>
        <w:ind w:firstLine="480"/>
      </w:pPr>
      <w:r>
        <w:rPr>
          <w:rFonts w:hint="eastAsia"/>
        </w:rPr>
        <w:t>主机系统安全须测评以下九个控制点：</w:t>
      </w:r>
    </w:p>
    <w:p>
      <w:pPr>
        <w:ind w:firstLine="480"/>
      </w:pPr>
      <w:r>
        <w:rPr>
          <w:rFonts w:hint="eastAsia"/>
        </w:rPr>
        <w:t>控制点一：身份鉴别；</w:t>
      </w:r>
    </w:p>
    <w:p>
      <w:pPr>
        <w:ind w:firstLine="480"/>
      </w:pPr>
      <w:r>
        <w:rPr>
          <w:rFonts w:hint="eastAsia"/>
        </w:rPr>
        <w:t>控制点二：安全标记；</w:t>
      </w:r>
    </w:p>
    <w:p>
      <w:pPr>
        <w:ind w:firstLine="480"/>
      </w:pPr>
      <w:r>
        <w:rPr>
          <w:rFonts w:hint="eastAsia"/>
        </w:rPr>
        <w:t>控制点三：访问控制；</w:t>
      </w:r>
    </w:p>
    <w:p>
      <w:pPr>
        <w:ind w:firstLine="480"/>
      </w:pPr>
      <w:r>
        <w:rPr>
          <w:rFonts w:hint="eastAsia"/>
        </w:rPr>
        <w:t>控制点四：可信路径；</w:t>
      </w:r>
    </w:p>
    <w:p>
      <w:pPr>
        <w:ind w:firstLine="480"/>
      </w:pPr>
      <w:r>
        <w:rPr>
          <w:rFonts w:hint="eastAsia"/>
        </w:rPr>
        <w:t>控制点五：安全审计；</w:t>
      </w:r>
    </w:p>
    <w:p>
      <w:pPr>
        <w:ind w:firstLine="480"/>
      </w:pPr>
      <w:r>
        <w:rPr>
          <w:rFonts w:hint="eastAsia"/>
        </w:rPr>
        <w:t>控制点六：入侵防范；</w:t>
      </w:r>
    </w:p>
    <w:p>
      <w:pPr>
        <w:ind w:firstLine="480"/>
      </w:pPr>
      <w:r>
        <w:rPr>
          <w:rFonts w:hint="eastAsia"/>
        </w:rPr>
        <w:t>控制点七：恶意代码防范；</w:t>
      </w:r>
    </w:p>
    <w:p>
      <w:pPr>
        <w:ind w:firstLine="480"/>
      </w:pPr>
      <w:r>
        <w:rPr>
          <w:rFonts w:hint="eastAsia"/>
        </w:rPr>
        <w:t>控制点八：资源控制；</w:t>
      </w:r>
    </w:p>
    <w:p>
      <w:pPr>
        <w:ind w:firstLine="482"/>
        <w:rPr>
          <w:b/>
          <w:bCs/>
        </w:rPr>
      </w:pPr>
      <w:r>
        <w:rPr>
          <w:rFonts w:hint="eastAsia"/>
          <w:b/>
          <w:bCs/>
        </w:rPr>
        <w:t>4）应用安全</w:t>
      </w:r>
    </w:p>
    <w:p>
      <w:pPr>
        <w:ind w:firstLine="480"/>
      </w:pPr>
      <w:r>
        <w:rPr>
          <w:rFonts w:hint="eastAsia"/>
        </w:rPr>
        <w:t>应用安全须测评以下十一个控制点：</w:t>
      </w:r>
    </w:p>
    <w:p>
      <w:pPr>
        <w:ind w:firstLine="480"/>
      </w:pPr>
      <w:r>
        <w:rPr>
          <w:rFonts w:hint="eastAsia"/>
        </w:rPr>
        <w:t>身份鉴别；</w:t>
      </w:r>
    </w:p>
    <w:p>
      <w:pPr>
        <w:ind w:firstLine="480"/>
      </w:pPr>
      <w:r>
        <w:rPr>
          <w:rFonts w:hint="eastAsia"/>
        </w:rPr>
        <w:t>安全标记；</w:t>
      </w:r>
    </w:p>
    <w:p>
      <w:pPr>
        <w:ind w:firstLine="480"/>
      </w:pPr>
      <w:r>
        <w:rPr>
          <w:rFonts w:hint="eastAsia"/>
        </w:rPr>
        <w:t>访问控制；</w:t>
      </w:r>
    </w:p>
    <w:p>
      <w:pPr>
        <w:ind w:firstLine="480"/>
      </w:pPr>
      <w:r>
        <w:rPr>
          <w:rFonts w:hint="eastAsia"/>
        </w:rPr>
        <w:t>可信路径；</w:t>
      </w:r>
    </w:p>
    <w:p>
      <w:pPr>
        <w:ind w:firstLine="480"/>
      </w:pPr>
      <w:r>
        <w:rPr>
          <w:rFonts w:hint="eastAsia"/>
        </w:rPr>
        <w:t>安全审计；</w:t>
      </w:r>
    </w:p>
    <w:p>
      <w:pPr>
        <w:ind w:firstLine="480"/>
      </w:pPr>
      <w:r>
        <w:rPr>
          <w:rFonts w:hint="eastAsia"/>
        </w:rPr>
        <w:t>剩余信息保护；</w:t>
      </w:r>
    </w:p>
    <w:p>
      <w:pPr>
        <w:ind w:firstLine="480"/>
      </w:pPr>
      <w:r>
        <w:rPr>
          <w:rFonts w:hint="eastAsia"/>
        </w:rPr>
        <w:t>通信完整性；</w:t>
      </w:r>
    </w:p>
    <w:p>
      <w:pPr>
        <w:ind w:firstLine="480"/>
      </w:pPr>
      <w:r>
        <w:rPr>
          <w:rFonts w:hint="eastAsia"/>
        </w:rPr>
        <w:t>通信保密性；</w:t>
      </w:r>
    </w:p>
    <w:p>
      <w:pPr>
        <w:ind w:firstLine="480"/>
      </w:pPr>
      <w:r>
        <w:rPr>
          <w:rFonts w:hint="eastAsia"/>
        </w:rPr>
        <w:t>抗抵赖；</w:t>
      </w:r>
    </w:p>
    <w:p>
      <w:pPr>
        <w:ind w:firstLine="480"/>
      </w:pPr>
      <w:r>
        <w:rPr>
          <w:rFonts w:hint="eastAsia"/>
        </w:rPr>
        <w:t>软件容错；</w:t>
      </w:r>
    </w:p>
    <w:p>
      <w:pPr>
        <w:ind w:firstLine="480"/>
      </w:pPr>
      <w:r>
        <w:rPr>
          <w:rFonts w:hint="eastAsia"/>
        </w:rPr>
        <w:t>资源控制；</w:t>
      </w:r>
    </w:p>
    <w:p>
      <w:pPr>
        <w:ind w:firstLine="482"/>
        <w:rPr>
          <w:b/>
          <w:bCs/>
        </w:rPr>
      </w:pPr>
      <w:r>
        <w:rPr>
          <w:rFonts w:hint="eastAsia"/>
          <w:b/>
          <w:bCs/>
        </w:rPr>
        <w:t>5）数据安全及备份恢复</w:t>
      </w:r>
    </w:p>
    <w:p>
      <w:pPr>
        <w:ind w:firstLine="480"/>
      </w:pPr>
      <w:r>
        <w:rPr>
          <w:rFonts w:hint="eastAsia"/>
        </w:rPr>
        <w:t>保证数据安全和备份恢复测评以下三个控制点：</w:t>
      </w:r>
    </w:p>
    <w:p>
      <w:pPr>
        <w:ind w:firstLine="480"/>
      </w:pPr>
      <w:r>
        <w:rPr>
          <w:rFonts w:hint="eastAsia"/>
        </w:rPr>
        <w:t>数据完整性；</w:t>
      </w:r>
    </w:p>
    <w:p>
      <w:pPr>
        <w:ind w:firstLine="480"/>
      </w:pPr>
      <w:r>
        <w:rPr>
          <w:rFonts w:hint="eastAsia"/>
        </w:rPr>
        <w:t>数据保密性；</w:t>
      </w:r>
    </w:p>
    <w:p>
      <w:pPr>
        <w:ind w:firstLine="480"/>
      </w:pPr>
      <w:r>
        <w:rPr>
          <w:rFonts w:hint="eastAsia"/>
        </w:rPr>
        <w:t>备份和恢复；</w:t>
      </w:r>
    </w:p>
    <w:p>
      <w:pPr>
        <w:pStyle w:val="8"/>
        <w:numPr>
          <w:ilvl w:val="0"/>
          <w:numId w:val="4"/>
        </w:numPr>
        <w:ind w:firstLineChars="0"/>
        <w:rPr>
          <w:b/>
          <w:bCs/>
        </w:rPr>
      </w:pPr>
      <w:r>
        <w:rPr>
          <w:rFonts w:hint="eastAsia"/>
          <w:b/>
          <w:bCs/>
        </w:rPr>
        <w:t>安全管理测评</w:t>
      </w:r>
    </w:p>
    <w:p>
      <w:pPr>
        <w:ind w:firstLine="480"/>
      </w:pPr>
      <w:r>
        <w:rPr>
          <w:rFonts w:hint="eastAsia"/>
        </w:rPr>
        <w:t>主要包括：安全管理制度测评、安全管理机构测评、人员安全管理测评、系统建设管理测评、系统运维管理测评等五个层面上的测评；</w:t>
      </w:r>
    </w:p>
    <w:p>
      <w:pPr>
        <w:ind w:firstLine="480"/>
      </w:pPr>
      <w:r>
        <w:rPr>
          <w:rFonts w:hint="eastAsia"/>
        </w:rPr>
        <w:t>安全管理制度</w:t>
      </w:r>
    </w:p>
    <w:p>
      <w:pPr>
        <w:ind w:firstLine="480"/>
      </w:pPr>
      <w:r>
        <w:rPr>
          <w:rFonts w:hint="eastAsia"/>
        </w:rPr>
        <w:t>安全管理制度测评以下三个控制点：</w:t>
      </w:r>
    </w:p>
    <w:p>
      <w:pPr>
        <w:ind w:firstLine="480"/>
      </w:pPr>
      <w:r>
        <w:rPr>
          <w:rFonts w:hint="eastAsia"/>
        </w:rPr>
        <w:t>管理制度；</w:t>
      </w:r>
    </w:p>
    <w:p>
      <w:pPr>
        <w:ind w:firstLine="480"/>
      </w:pPr>
      <w:r>
        <w:rPr>
          <w:rFonts w:hint="eastAsia"/>
        </w:rPr>
        <w:t>制定和发布；</w:t>
      </w:r>
    </w:p>
    <w:p>
      <w:pPr>
        <w:ind w:firstLine="480"/>
      </w:pPr>
      <w:r>
        <w:rPr>
          <w:rFonts w:hint="eastAsia"/>
        </w:rPr>
        <w:t>评审和修订；</w:t>
      </w:r>
    </w:p>
    <w:p>
      <w:pPr>
        <w:ind w:firstLine="480"/>
      </w:pPr>
      <w:r>
        <w:rPr>
          <w:rFonts w:hint="eastAsia"/>
        </w:rPr>
        <w:t>安全管理机构</w:t>
      </w:r>
    </w:p>
    <w:p>
      <w:pPr>
        <w:ind w:firstLine="480"/>
      </w:pPr>
      <w:r>
        <w:rPr>
          <w:rFonts w:hint="eastAsia"/>
        </w:rPr>
        <w:t>安全管理机构测评以下五个控制点：</w:t>
      </w:r>
    </w:p>
    <w:p>
      <w:pPr>
        <w:ind w:firstLine="480"/>
      </w:pPr>
      <w:r>
        <w:rPr>
          <w:rFonts w:hint="eastAsia"/>
        </w:rPr>
        <w:t>岗位设置；</w:t>
      </w:r>
    </w:p>
    <w:p>
      <w:pPr>
        <w:ind w:firstLine="480"/>
      </w:pPr>
      <w:r>
        <w:rPr>
          <w:rFonts w:hint="eastAsia"/>
        </w:rPr>
        <w:t>人员配备；</w:t>
      </w:r>
    </w:p>
    <w:p>
      <w:pPr>
        <w:ind w:firstLine="480"/>
      </w:pPr>
      <w:r>
        <w:rPr>
          <w:rFonts w:hint="eastAsia"/>
        </w:rPr>
        <w:t>授权和审批；</w:t>
      </w:r>
    </w:p>
    <w:p>
      <w:pPr>
        <w:ind w:firstLine="480"/>
      </w:pPr>
      <w:r>
        <w:rPr>
          <w:rFonts w:hint="eastAsia"/>
        </w:rPr>
        <w:t>沟通和合作；</w:t>
      </w:r>
    </w:p>
    <w:p>
      <w:pPr>
        <w:ind w:firstLine="480"/>
      </w:pPr>
      <w:r>
        <w:rPr>
          <w:rFonts w:hint="eastAsia"/>
        </w:rPr>
        <w:t>审核和检查；</w:t>
      </w:r>
    </w:p>
    <w:p>
      <w:pPr>
        <w:ind w:firstLine="480"/>
      </w:pPr>
      <w:r>
        <w:rPr>
          <w:rFonts w:hint="eastAsia"/>
        </w:rPr>
        <w:t>人员安全管理</w:t>
      </w:r>
    </w:p>
    <w:p>
      <w:pPr>
        <w:ind w:firstLine="480"/>
      </w:pPr>
      <w:r>
        <w:rPr>
          <w:rFonts w:hint="eastAsia"/>
        </w:rPr>
        <w:t>对人员安全的管理，主要涉及两方面：对内部人员的安全管理和对外部员的安全管理。测评以下五个控制点：</w:t>
      </w:r>
    </w:p>
    <w:p>
      <w:pPr>
        <w:ind w:firstLine="480"/>
      </w:pPr>
      <w:r>
        <w:rPr>
          <w:rFonts w:hint="eastAsia"/>
        </w:rPr>
        <w:t>人员录用；</w:t>
      </w:r>
    </w:p>
    <w:p>
      <w:pPr>
        <w:ind w:firstLine="480"/>
      </w:pPr>
      <w:r>
        <w:rPr>
          <w:rFonts w:hint="eastAsia"/>
        </w:rPr>
        <w:t>人员离岗；</w:t>
      </w:r>
    </w:p>
    <w:p>
      <w:pPr>
        <w:ind w:firstLine="480"/>
      </w:pPr>
      <w:r>
        <w:rPr>
          <w:rFonts w:hint="eastAsia"/>
        </w:rPr>
        <w:t>人员考核；</w:t>
      </w:r>
    </w:p>
    <w:p>
      <w:pPr>
        <w:ind w:firstLine="480"/>
      </w:pPr>
      <w:r>
        <w:rPr>
          <w:rFonts w:hint="eastAsia"/>
        </w:rPr>
        <w:t>安全意识教育和培训；</w:t>
      </w:r>
    </w:p>
    <w:p>
      <w:pPr>
        <w:ind w:firstLine="480"/>
      </w:pPr>
      <w:r>
        <w:rPr>
          <w:rFonts w:hint="eastAsia"/>
        </w:rPr>
        <w:t>外部人员访问管理；</w:t>
      </w:r>
    </w:p>
    <w:p>
      <w:pPr>
        <w:ind w:firstLine="480"/>
      </w:pPr>
      <w:r>
        <w:rPr>
          <w:rFonts w:hint="eastAsia"/>
        </w:rPr>
        <w:t>系统建设管理</w:t>
      </w:r>
    </w:p>
    <w:p>
      <w:pPr>
        <w:ind w:firstLine="480"/>
      </w:pPr>
      <w:r>
        <w:rPr>
          <w:rFonts w:hint="eastAsia"/>
        </w:rPr>
        <w:t>系统建设管理测评以下十一个控制点：</w:t>
      </w:r>
    </w:p>
    <w:p>
      <w:pPr>
        <w:ind w:firstLine="480"/>
      </w:pPr>
      <w:r>
        <w:rPr>
          <w:rFonts w:hint="eastAsia"/>
        </w:rPr>
        <w:t>系统定级；</w:t>
      </w:r>
    </w:p>
    <w:p>
      <w:pPr>
        <w:ind w:firstLine="480"/>
      </w:pPr>
      <w:r>
        <w:rPr>
          <w:rFonts w:hint="eastAsia"/>
        </w:rPr>
        <w:t>安全方案设计；</w:t>
      </w:r>
    </w:p>
    <w:p>
      <w:pPr>
        <w:ind w:firstLine="480"/>
      </w:pPr>
      <w:r>
        <w:rPr>
          <w:rFonts w:hint="eastAsia"/>
        </w:rPr>
        <w:t>产品采购；</w:t>
      </w:r>
    </w:p>
    <w:p>
      <w:pPr>
        <w:ind w:firstLine="480"/>
      </w:pPr>
      <w:r>
        <w:rPr>
          <w:rFonts w:hint="eastAsia"/>
        </w:rPr>
        <w:t>自行软件开发；</w:t>
      </w:r>
    </w:p>
    <w:p>
      <w:pPr>
        <w:ind w:firstLine="480"/>
      </w:pPr>
      <w:r>
        <w:rPr>
          <w:rFonts w:hint="eastAsia"/>
        </w:rPr>
        <w:t>外包软件开发；</w:t>
      </w:r>
    </w:p>
    <w:p>
      <w:pPr>
        <w:ind w:firstLine="480"/>
      </w:pPr>
      <w:r>
        <w:rPr>
          <w:rFonts w:hint="eastAsia"/>
        </w:rPr>
        <w:t>工程实施；</w:t>
      </w:r>
    </w:p>
    <w:p>
      <w:pPr>
        <w:ind w:firstLine="480"/>
      </w:pPr>
      <w:r>
        <w:rPr>
          <w:rFonts w:hint="eastAsia"/>
        </w:rPr>
        <w:t>测试验收；</w:t>
      </w:r>
    </w:p>
    <w:p>
      <w:pPr>
        <w:ind w:firstLine="480"/>
      </w:pPr>
      <w:r>
        <w:rPr>
          <w:rFonts w:hint="eastAsia"/>
        </w:rPr>
        <w:t>系统交付；</w:t>
      </w:r>
    </w:p>
    <w:p>
      <w:pPr>
        <w:ind w:firstLine="480"/>
      </w:pPr>
      <w:r>
        <w:rPr>
          <w:rFonts w:hint="eastAsia"/>
        </w:rPr>
        <w:t>系统备案；</w:t>
      </w:r>
    </w:p>
    <w:p>
      <w:pPr>
        <w:ind w:firstLine="480"/>
      </w:pPr>
      <w:r>
        <w:rPr>
          <w:rFonts w:hint="eastAsia"/>
        </w:rPr>
        <w:t>等级测评；</w:t>
      </w:r>
    </w:p>
    <w:p>
      <w:pPr>
        <w:ind w:firstLine="480"/>
      </w:pPr>
      <w:r>
        <w:rPr>
          <w:rFonts w:hint="eastAsia"/>
        </w:rPr>
        <w:t>安全服务商选择；</w:t>
      </w:r>
    </w:p>
    <w:p>
      <w:pPr>
        <w:ind w:firstLine="480"/>
      </w:pPr>
      <w:r>
        <w:rPr>
          <w:rFonts w:hint="eastAsia"/>
        </w:rPr>
        <w:t>系统运维管理</w:t>
      </w:r>
    </w:p>
    <w:p>
      <w:pPr>
        <w:ind w:firstLine="480"/>
      </w:pPr>
      <w:r>
        <w:rPr>
          <w:rFonts w:hint="eastAsia"/>
        </w:rPr>
        <w:t>系统运维管理测评以下十三个控制点：</w:t>
      </w:r>
    </w:p>
    <w:p>
      <w:pPr>
        <w:ind w:firstLine="480"/>
      </w:pPr>
      <w:r>
        <w:rPr>
          <w:rFonts w:hint="eastAsia"/>
        </w:rPr>
        <w:t>环境管理；</w:t>
      </w:r>
    </w:p>
    <w:p>
      <w:pPr>
        <w:ind w:firstLine="480"/>
      </w:pPr>
      <w:r>
        <w:rPr>
          <w:rFonts w:hint="eastAsia"/>
        </w:rPr>
        <w:t>资产管理；</w:t>
      </w:r>
    </w:p>
    <w:p>
      <w:pPr>
        <w:ind w:firstLine="480"/>
      </w:pPr>
      <w:r>
        <w:rPr>
          <w:rFonts w:hint="eastAsia"/>
        </w:rPr>
        <w:t>介质管理；</w:t>
      </w:r>
    </w:p>
    <w:p>
      <w:pPr>
        <w:ind w:firstLine="480"/>
      </w:pPr>
      <w:r>
        <w:rPr>
          <w:rFonts w:hint="eastAsia"/>
        </w:rPr>
        <w:t>设备管理；</w:t>
      </w:r>
    </w:p>
    <w:p>
      <w:pPr>
        <w:ind w:firstLine="480"/>
      </w:pPr>
      <w:r>
        <w:rPr>
          <w:rFonts w:hint="eastAsia"/>
        </w:rPr>
        <w:t>监控管理和安全管理中心；</w:t>
      </w:r>
    </w:p>
    <w:p>
      <w:pPr>
        <w:ind w:firstLine="480"/>
      </w:pPr>
      <w:r>
        <w:rPr>
          <w:rFonts w:hint="eastAsia"/>
        </w:rPr>
        <w:t>网络安全管理；</w:t>
      </w:r>
    </w:p>
    <w:p>
      <w:pPr>
        <w:ind w:firstLine="480"/>
      </w:pPr>
      <w:r>
        <w:rPr>
          <w:rFonts w:hint="eastAsia"/>
        </w:rPr>
        <w:t>系统安全管理；</w:t>
      </w:r>
    </w:p>
    <w:p>
      <w:pPr>
        <w:ind w:firstLine="480"/>
      </w:pPr>
      <w:r>
        <w:rPr>
          <w:rFonts w:hint="eastAsia"/>
        </w:rPr>
        <w:t>恶意代码防范管理；</w:t>
      </w:r>
    </w:p>
    <w:p>
      <w:pPr>
        <w:ind w:firstLine="480"/>
      </w:pPr>
      <w:r>
        <w:rPr>
          <w:rFonts w:hint="eastAsia"/>
        </w:rPr>
        <w:t>密码管理；</w:t>
      </w:r>
    </w:p>
    <w:p>
      <w:pPr>
        <w:pStyle w:val="8"/>
        <w:numPr>
          <w:ilvl w:val="0"/>
          <w:numId w:val="4"/>
        </w:numPr>
        <w:ind w:firstLineChars="0"/>
        <w:rPr>
          <w:b/>
          <w:bCs/>
        </w:rPr>
      </w:pPr>
      <w:r>
        <w:rPr>
          <w:rFonts w:hint="eastAsia"/>
          <w:b/>
          <w:bCs/>
        </w:rPr>
        <w:t>系统整体测评</w:t>
      </w:r>
    </w:p>
    <w:p>
      <w:pPr>
        <w:ind w:firstLine="480"/>
      </w:pPr>
      <w:r>
        <w:rPr>
          <w:rFonts w:hint="eastAsia"/>
        </w:rPr>
        <w:t>主要包括：</w:t>
      </w:r>
    </w:p>
    <w:p>
      <w:pPr>
        <w:pStyle w:val="8"/>
        <w:numPr>
          <w:ilvl w:val="0"/>
          <w:numId w:val="6"/>
        </w:numPr>
        <w:ind w:firstLineChars="0"/>
      </w:pPr>
      <w:r>
        <w:rPr>
          <w:rFonts w:hint="eastAsia"/>
        </w:rPr>
        <w:t>安全控制间安全测评；</w:t>
      </w:r>
    </w:p>
    <w:p>
      <w:pPr>
        <w:pStyle w:val="8"/>
        <w:numPr>
          <w:ilvl w:val="0"/>
          <w:numId w:val="6"/>
        </w:numPr>
        <w:ind w:firstLineChars="0"/>
      </w:pPr>
      <w:r>
        <w:rPr>
          <w:rFonts w:hint="eastAsia"/>
        </w:rPr>
        <w:t>层面间安全测评；</w:t>
      </w:r>
    </w:p>
    <w:p>
      <w:pPr>
        <w:pStyle w:val="8"/>
        <w:numPr>
          <w:ilvl w:val="0"/>
          <w:numId w:val="6"/>
        </w:numPr>
        <w:ind w:firstLineChars="0"/>
      </w:pPr>
      <w:r>
        <w:rPr>
          <w:rFonts w:hint="eastAsia"/>
        </w:rPr>
        <w:t>区域间安全测评；</w:t>
      </w:r>
    </w:p>
    <w:p>
      <w:pPr>
        <w:pStyle w:val="8"/>
        <w:numPr>
          <w:ilvl w:val="0"/>
          <w:numId w:val="6"/>
        </w:numPr>
        <w:ind w:firstLineChars="0"/>
      </w:pPr>
      <w:r>
        <w:rPr>
          <w:rFonts w:hint="eastAsia"/>
        </w:rPr>
        <w:t>系统结构安全测评；</w:t>
      </w:r>
    </w:p>
    <w:p>
      <w:pPr>
        <w:ind w:firstLine="480"/>
      </w:pPr>
      <w:r>
        <w:rPr>
          <w:rFonts w:hint="eastAsia"/>
        </w:rPr>
        <w:t>实施人员应根据特定信息系统的具体情况，结合相关国家标准和要求，确定系统整体检查的具体内容，在安全控制符合性检查的基础上，重点考虑安全控制间、层面间以及区域间的相互关联关系，检查安全控制间、层面间和区域间是否存在安全功能上的增强、补充和削弱作用以及信息系统整体结构安全性、不同信息系统之间整体安全性等。检查完毕，必须向用户方提交测评报告及整改方案。</w:t>
      </w:r>
    </w:p>
    <w:p>
      <w:pPr>
        <w:pStyle w:val="8"/>
        <w:numPr>
          <w:ilvl w:val="0"/>
          <w:numId w:val="3"/>
        </w:numPr>
        <w:topLinePunct/>
        <w:ind w:left="426" w:firstLineChars="0"/>
        <w:outlineLvl w:val="1"/>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测评流程要求</w:t>
      </w:r>
    </w:p>
    <w:p>
      <w:pPr>
        <w:pStyle w:val="8"/>
        <w:numPr>
          <w:ilvl w:val="0"/>
          <w:numId w:val="7"/>
        </w:numPr>
        <w:ind w:firstLineChars="0"/>
        <w:rPr>
          <w:b/>
          <w:bCs/>
        </w:rPr>
      </w:pPr>
      <w:r>
        <w:rPr>
          <w:rFonts w:hint="eastAsia"/>
          <w:b/>
          <w:bCs/>
        </w:rPr>
        <w:t>安全技术差距测评</w:t>
      </w:r>
    </w:p>
    <w:p>
      <w:pPr>
        <w:ind w:firstLine="480"/>
      </w:pPr>
      <w:r>
        <w:rPr>
          <w:rFonts w:hint="eastAsia"/>
        </w:rPr>
        <w:t>针对单位信息系统的物理安全、网络安全、主机安全、应用安全、数据安全和备份恢复5个技术层面进行现场测评和差距分析，记录相关的测评结果。</w:t>
      </w:r>
    </w:p>
    <w:p>
      <w:pPr>
        <w:pStyle w:val="8"/>
        <w:numPr>
          <w:ilvl w:val="0"/>
          <w:numId w:val="7"/>
        </w:numPr>
        <w:ind w:firstLineChars="0"/>
        <w:rPr>
          <w:b/>
          <w:bCs/>
        </w:rPr>
      </w:pPr>
      <w:r>
        <w:rPr>
          <w:rFonts w:hint="eastAsia"/>
          <w:b/>
          <w:bCs/>
        </w:rPr>
        <w:t>安全管理差距测评</w:t>
      </w:r>
    </w:p>
    <w:p>
      <w:pPr>
        <w:ind w:firstLine="480"/>
      </w:pPr>
      <w:r>
        <w:rPr>
          <w:rFonts w:hint="eastAsia"/>
        </w:rPr>
        <w:t>针对单位信息系统的安全管理制度、安全管理机构、人员安全管理、系统建设管理、系统运维管理这5个管理层面进行现场测评和差距分析，记录相关的测评结果。</w:t>
      </w:r>
    </w:p>
    <w:p>
      <w:pPr>
        <w:pStyle w:val="8"/>
        <w:numPr>
          <w:ilvl w:val="0"/>
          <w:numId w:val="7"/>
        </w:numPr>
        <w:ind w:firstLineChars="0"/>
        <w:rPr>
          <w:b/>
          <w:bCs/>
        </w:rPr>
      </w:pPr>
      <w:r>
        <w:rPr>
          <w:rFonts w:hint="eastAsia"/>
          <w:b/>
          <w:bCs/>
        </w:rPr>
        <w:t>差距测评记录撰写、评审、定稿</w:t>
      </w:r>
    </w:p>
    <w:p>
      <w:pPr>
        <w:ind w:firstLine="480"/>
      </w:pPr>
      <w:r>
        <w:rPr>
          <w:rFonts w:hint="eastAsia"/>
        </w:rPr>
        <w:t>依照《等级保护现场测评记录》中所记录的针对单位信息系统的技术和管理测评结果，结合系统整体差距测评结果，按照标准测评报告模板撰写测评记录，完成初稿后交由单位进行评审，并最终定稿作为整改加固工作的依据。</w:t>
      </w:r>
    </w:p>
    <w:p>
      <w:pPr>
        <w:pStyle w:val="8"/>
        <w:numPr>
          <w:ilvl w:val="0"/>
          <w:numId w:val="7"/>
        </w:numPr>
        <w:ind w:firstLineChars="0"/>
        <w:rPr>
          <w:b/>
          <w:bCs/>
        </w:rPr>
      </w:pPr>
      <w:r>
        <w:rPr>
          <w:rFonts w:hint="eastAsia"/>
          <w:b/>
          <w:bCs/>
        </w:rPr>
        <w:t>等级保护测评</w:t>
      </w:r>
    </w:p>
    <w:p>
      <w:pPr>
        <w:ind w:firstLine="480"/>
      </w:pPr>
      <w:r>
        <w:rPr>
          <w:rFonts w:hint="eastAsia"/>
        </w:rPr>
        <w:t>针对医院定级系统在《等级保护差距测评记录》的基础上进行全面的网络安全等级保护测评。</w:t>
      </w:r>
    </w:p>
    <w:p>
      <w:pPr>
        <w:pStyle w:val="8"/>
        <w:numPr>
          <w:ilvl w:val="0"/>
          <w:numId w:val="7"/>
        </w:numPr>
        <w:ind w:firstLineChars="0"/>
        <w:rPr>
          <w:b/>
          <w:bCs/>
        </w:rPr>
      </w:pPr>
      <w:r>
        <w:rPr>
          <w:rFonts w:hint="eastAsia"/>
          <w:b/>
          <w:bCs/>
        </w:rPr>
        <w:t>形成等级测评结论及测评报告备案提交</w:t>
      </w:r>
    </w:p>
    <w:p>
      <w:pPr>
        <w:ind w:firstLine="480"/>
      </w:pPr>
      <w:r>
        <w:rPr>
          <w:rFonts w:hint="eastAsia"/>
        </w:rPr>
        <w:t>针对医院定级系统测评在数据汇总分析的基础上，分析系统存在的问题，给出系统等级测评结论，编制《等级保护测评报告》提交公安机关网安部门备案。</w:t>
      </w:r>
    </w:p>
    <w:p>
      <w:pPr>
        <w:pStyle w:val="8"/>
        <w:numPr>
          <w:ilvl w:val="0"/>
          <w:numId w:val="7"/>
        </w:numPr>
        <w:ind w:firstLineChars="0"/>
        <w:rPr>
          <w:b/>
          <w:bCs/>
        </w:rPr>
      </w:pPr>
      <w:r>
        <w:rPr>
          <w:rFonts w:hint="eastAsia"/>
          <w:b/>
          <w:bCs/>
        </w:rPr>
        <w:t>安全整改要求</w:t>
      </w:r>
    </w:p>
    <w:p>
      <w:pPr>
        <w:ind w:firstLine="480"/>
        <w:rPr>
          <w:rFonts w:ascii="宋体" w:hAnsi="宋体"/>
          <w:color w:val="000000"/>
        </w:rPr>
      </w:pPr>
      <w:r>
        <w:rPr>
          <w:rFonts w:hint="eastAsia"/>
        </w:rPr>
        <w:t>依照《等级保护差距测评记录》中的测评结论和整改建议，结合针对单位信息定级系统的实际情况，配合用户方设计系统整改方案。</w:t>
      </w:r>
    </w:p>
    <w:p>
      <w:pPr>
        <w:wordWrap w:val="0"/>
        <w:topLinePunct/>
        <w:ind w:firstLine="0"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w:t>
      </w:r>
      <w:r>
        <w:rPr>
          <w:rFonts w:hint="eastAsia" w:ascii="宋体" w:hAnsi="宋体" w:cs="宋体"/>
          <w:b/>
          <w:color w:val="000000"/>
          <w:szCs w:val="24"/>
          <w:lang w:val="en-US" w:eastAsia="zh-CN"/>
        </w:rPr>
        <w:t>二</w:t>
      </w:r>
      <w:r>
        <w:rPr>
          <w:rFonts w:hint="eastAsia" w:ascii="宋体" w:hAnsi="宋体" w:cs="宋体"/>
          <w:b/>
          <w:color w:val="000000"/>
          <w:szCs w:val="24"/>
          <w:lang w:eastAsia="zh-Hans"/>
        </w:rPr>
        <w:t>）安全管理制度体系建设技术要求</w:t>
      </w:r>
    </w:p>
    <w:p>
      <w:pPr>
        <w:ind w:firstLine="480"/>
      </w:pPr>
      <w:r>
        <w:rPr>
          <w:rFonts w:hint="eastAsia"/>
        </w:rPr>
        <w:t>建立医院统一的信息安全管理体系，落实各项管理制度。从安全管理制度、安全管理机构、人员安全管理、系统建设及运维管理等方面进行系统规划设计，建立统一的信息安全管理系统，落实各项管理制度，让用户的安全管理体系，有宏观的设计、有清晰的责任权限、有合理的制度要求。同时应用包括安全可视化、统一运维管理等创新的技术手段，简化安全运维管理，减轻安全运维负担，提升安全运维管理的效率，最终做到整体防御、分区隔离；积极防护、内外兼防；自身防御、主动免疫；纵深防御、技管并重。</w:t>
      </w:r>
    </w:p>
    <w:p>
      <w:pPr>
        <w:pStyle w:val="8"/>
        <w:numPr>
          <w:ilvl w:val="0"/>
          <w:numId w:val="8"/>
        </w:numPr>
        <w:ind w:firstLineChars="0"/>
        <w:rPr>
          <w:b/>
          <w:bCs/>
        </w:rPr>
      </w:pPr>
      <w:bookmarkStart w:id="2" w:name="_Toc73397685"/>
      <w:r>
        <w:rPr>
          <w:rFonts w:hint="eastAsia"/>
          <w:b/>
          <w:bCs/>
        </w:rPr>
        <w:t>安全管理策略和制度</w:t>
      </w:r>
      <w:bookmarkEnd w:id="2"/>
    </w:p>
    <w:p>
      <w:pPr>
        <w:ind w:firstLine="480"/>
        <w:rPr>
          <w:rFonts w:ascii="仿宋" w:hAnsi="仿宋"/>
        </w:rPr>
      </w:pPr>
      <w:r>
        <w:rPr>
          <w:rFonts w:hint="eastAsia"/>
        </w:rPr>
        <w:t>根据医院信息安全管理工作的特点，制定信息安全工作的总体方针和安全策略，明确安全管理工作的总体目标、范围、原则和安全框架等。根据安全管理活动中的各类管理内容建立安全管理制度；并由管理人员或操作人员执行的日常管理操作建立操作规程，形成由安全策略、管理制度、操作规程等构成的全面的信息安全管理制度体系，从而指导并有效地规范各级部门的信息安全管理工作。通过制定严格的制度规定与发布流程、方式、范围等，定期对安全管理制度进行评审和修订。安全的管理制度可以在很大程度上防止由于人为因素导致的安全性问题，同时，对一个信息网络系统来说，管理制度需要结合系统的特点以及系统所处环境的特殊性进行考虑。</w:t>
      </w:r>
    </w:p>
    <w:p>
      <w:pPr>
        <w:pStyle w:val="8"/>
        <w:numPr>
          <w:ilvl w:val="0"/>
          <w:numId w:val="8"/>
        </w:numPr>
        <w:ind w:firstLineChars="0"/>
        <w:rPr>
          <w:b/>
          <w:bCs/>
        </w:rPr>
      </w:pPr>
      <w:bookmarkStart w:id="3" w:name="_Toc38016215"/>
      <w:bookmarkStart w:id="4" w:name="_Toc73397686"/>
      <w:bookmarkStart w:id="5" w:name="_Toc71970732"/>
      <w:bookmarkStart w:id="6" w:name="_Toc509996757"/>
      <w:bookmarkStart w:id="7" w:name="_Toc514345275"/>
      <w:bookmarkStart w:id="8" w:name="_Toc7342974"/>
      <w:bookmarkStart w:id="9" w:name="_Toc35990480"/>
      <w:r>
        <w:rPr>
          <w:rFonts w:hint="eastAsia"/>
          <w:b/>
          <w:bCs/>
        </w:rPr>
        <w:t>安全管理机构和人员</w:t>
      </w:r>
      <w:bookmarkEnd w:id="3"/>
      <w:bookmarkEnd w:id="4"/>
      <w:bookmarkEnd w:id="5"/>
      <w:bookmarkEnd w:id="6"/>
      <w:bookmarkEnd w:id="7"/>
      <w:bookmarkEnd w:id="8"/>
      <w:bookmarkEnd w:id="9"/>
    </w:p>
    <w:p>
      <w:pPr>
        <w:ind w:firstLine="480"/>
        <w:rPr>
          <w:rFonts w:ascii="仿宋" w:hAnsi="仿宋"/>
        </w:rPr>
      </w:pPr>
      <w:r>
        <w:rPr>
          <w:rFonts w:hint="eastAsia"/>
        </w:rPr>
        <w:t>建立符合医院部门机构设置和人员分工特点的信息安全管理组织体系，成立信息安全管理小组等信息安全管理机构，明确信息安全管理机构的组织形式和运作方式，建立高效的安全管理机构, 设立系统管理员、网络管理员、安全管理员等岗位，并定义各个工作岗位的职责。并从人员配备、授权和审批、沟通和合作、审核和检查、人员录用、人员离岗及安全意识教育和培训各方面进行管理落地。</w:t>
      </w:r>
    </w:p>
    <w:p>
      <w:pPr>
        <w:pStyle w:val="8"/>
        <w:numPr>
          <w:ilvl w:val="0"/>
          <w:numId w:val="8"/>
        </w:numPr>
        <w:ind w:firstLineChars="0"/>
        <w:rPr>
          <w:b/>
          <w:bCs/>
        </w:rPr>
      </w:pPr>
      <w:bookmarkStart w:id="10" w:name="_Toc71970733"/>
      <w:bookmarkStart w:id="11" w:name="_Toc35990481"/>
      <w:bookmarkStart w:id="12" w:name="_Toc514345276"/>
      <w:bookmarkStart w:id="13" w:name="_Toc509996758"/>
      <w:bookmarkStart w:id="14" w:name="_Toc7342975"/>
      <w:bookmarkStart w:id="15" w:name="_Toc73397687"/>
      <w:bookmarkStart w:id="16" w:name="_Toc38016216"/>
      <w:r>
        <w:rPr>
          <w:rFonts w:hint="eastAsia"/>
          <w:b/>
          <w:bCs/>
        </w:rPr>
        <w:t>安全建设管理</w:t>
      </w:r>
      <w:bookmarkEnd w:id="10"/>
      <w:bookmarkEnd w:id="11"/>
      <w:bookmarkEnd w:id="12"/>
      <w:bookmarkEnd w:id="13"/>
      <w:bookmarkEnd w:id="14"/>
      <w:bookmarkEnd w:id="15"/>
      <w:bookmarkEnd w:id="16"/>
    </w:p>
    <w:p>
      <w:pPr>
        <w:ind w:firstLine="480"/>
      </w:pPr>
      <w:r>
        <w:rPr>
          <w:rFonts w:hint="eastAsia"/>
        </w:rPr>
        <w:t>以信息安全管理工作为出发点，充实完善信息系统工程建设管理制度中有关信息安全的内容。涉及信息系统等级保护的定级、安全方案设计、产品采购和使用、自行软件开发、外包软件开发、工程实施、测试验收、系统交付、服务供应商管理等方面。从工程实施的前中后的初始定级设计到验收测评的整个工程周期中融入信息安全管理的策略和内容。以及强化对信息系统软件的开发过程和软件交付的安全指导和检测。</w:t>
      </w:r>
    </w:p>
    <w:p>
      <w:pPr>
        <w:pStyle w:val="8"/>
        <w:numPr>
          <w:ilvl w:val="0"/>
          <w:numId w:val="8"/>
        </w:numPr>
        <w:ind w:firstLineChars="0"/>
        <w:rPr>
          <w:b/>
          <w:bCs/>
        </w:rPr>
      </w:pPr>
      <w:bookmarkStart w:id="17" w:name="_Toc509996759"/>
      <w:bookmarkStart w:id="18" w:name="_Toc514345277"/>
      <w:bookmarkStart w:id="19" w:name="_Toc73397688"/>
      <w:bookmarkStart w:id="20" w:name="_Toc35990482"/>
      <w:bookmarkStart w:id="21" w:name="_Toc38016217"/>
      <w:bookmarkStart w:id="22" w:name="_Toc71970734"/>
      <w:bookmarkStart w:id="23" w:name="_Toc7342976"/>
      <w:r>
        <w:rPr>
          <w:rFonts w:hint="eastAsia"/>
          <w:b/>
          <w:bCs/>
        </w:rPr>
        <w:t>安全运维管理</w:t>
      </w:r>
      <w:bookmarkEnd w:id="17"/>
      <w:bookmarkEnd w:id="18"/>
      <w:bookmarkEnd w:id="19"/>
      <w:bookmarkEnd w:id="20"/>
      <w:bookmarkEnd w:id="21"/>
      <w:bookmarkEnd w:id="22"/>
      <w:bookmarkEnd w:id="23"/>
    </w:p>
    <w:p>
      <w:pPr>
        <w:ind w:firstLine="480"/>
      </w:pPr>
      <w:r>
        <w:rPr>
          <w:rFonts w:hint="eastAsia"/>
        </w:rPr>
        <w:t>根据医院信息安全管理制度体系框架中有关信息系统安全运维的有关制度规定，利用物理环境、网络系统、信息安全防护等运行维护管理和监测审计的系统和功能，以及统一安全监控管理中心等，不断完善系统运维安全管理的措施和手段，强化运维安全管理的科学规范，具体包括：环境管理、资产管理、介质管理、设备维护管理、漏洞和风险管理、网络与系统安全管理、恶意代码防范管理、配置管理、密码管理、变更管理、备份与恢复管理、安全事件处置、应急预案管理及外包运维管理等内容，确保系统安全稳定的运行。</w:t>
      </w:r>
    </w:p>
    <w:p>
      <w:pPr>
        <w:ind w:firstLine="480"/>
        <w:rPr>
          <w:rFonts w:ascii="宋体" w:hAnsi="宋体" w:cs="宋体"/>
          <w:bCs/>
        </w:rPr>
      </w:pPr>
      <w:r>
        <w:rPr>
          <w:rFonts w:hint="eastAsia"/>
        </w:rPr>
        <w:t>重点要进一步建立完善网络系统安全漏洞的日常扫描、检测评估和加固，系统安全配置变更，恶意代码病的监测防护，网络系统运行的日志审计记录和分析，数据的备份和恢复，安全事件的监测通报和应急响应等机制，并注重对安全策略和机制有效性的评估和验证。</w:t>
      </w:r>
    </w:p>
    <w:p>
      <w:pPr>
        <w:wordWrap w:val="0"/>
        <w:topLinePunct/>
        <w:ind w:firstLine="0"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（三）测评检查工具要求</w:t>
      </w:r>
    </w:p>
    <w:p>
      <w:pPr>
        <w:wordWrap w:val="0"/>
        <w:topLinePunct/>
        <w:ind w:firstLine="480"/>
        <w:rPr>
          <w:rFonts w:ascii="宋体" w:hAnsi="宋体" w:cs="宋体"/>
          <w:szCs w:val="24"/>
          <w:lang w:eastAsia="zh-Hans"/>
        </w:rPr>
      </w:pPr>
      <w:r>
        <w:rPr>
          <w:rFonts w:hint="eastAsia" w:ascii="宋体" w:hAnsi="宋体" w:cs="宋体"/>
          <w:szCs w:val="24"/>
        </w:rPr>
        <w:t>针对</w:t>
      </w:r>
      <w:r>
        <w:rPr>
          <w:rFonts w:hint="eastAsia" w:ascii="宋体" w:hAnsi="宋体" w:cs="宋体"/>
          <w:szCs w:val="24"/>
          <w:lang w:eastAsia="zh-Hans"/>
        </w:rPr>
        <w:t>本次测评工作，服务供应商应根据</w:t>
      </w:r>
      <w:r>
        <w:rPr>
          <w:rFonts w:hint="eastAsia" w:ascii="宋体" w:hAnsi="宋体" w:cs="宋体"/>
          <w:szCs w:val="24"/>
        </w:rPr>
        <w:t>测评指标中的单个测评项，结合具体测评对象，客观、准确地分析测评证据；汇总统计分析单项测评结果，给出测评对象的整体测评结果。分析被测系统整体安全状况及对单项测评结果的修订情况，分析被测系统存在的风险情况，提出安全建设整改建议，得出等级测评结论，输出测评报告。</w:t>
      </w:r>
      <w:r>
        <w:rPr>
          <w:rFonts w:hint="eastAsia" w:ascii="宋体" w:hAnsi="宋体" w:cs="宋体"/>
          <w:szCs w:val="24"/>
          <w:lang w:eastAsia="zh-Hans"/>
        </w:rPr>
        <w:t>为保障采购单位信息系统，服务供应商开展测评工作时，应采用专用检查工具开展信息系统测评工作。</w:t>
      </w:r>
    </w:p>
    <w:p>
      <w:pPr>
        <w:wordWrap w:val="0"/>
        <w:topLinePunct/>
        <w:ind w:firstLine="482"/>
        <w:rPr>
          <w:rFonts w:ascii="宋体" w:hAnsi="宋体"/>
          <w:color w:val="000000"/>
          <w:szCs w:val="21"/>
        </w:rPr>
      </w:pPr>
      <w:r>
        <w:rPr>
          <w:rFonts w:hint="eastAsia" w:ascii="宋体" w:hAnsi="宋体" w:cs="宋体"/>
          <w:b/>
          <w:bCs/>
          <w:color w:val="000000" w:themeColor="text1"/>
          <w:szCs w:val="24"/>
          <w14:textFill>
            <w14:solidFill>
              <w14:schemeClr w14:val="tx1"/>
            </w14:solidFill>
          </w14:textFill>
        </w:rPr>
        <w:t>安全稽核工具</w:t>
      </w:r>
      <w:r>
        <w:rPr>
          <w:rFonts w:hint="eastAsia" w:ascii="宋体" w:hAnsi="宋体"/>
          <w:color w:val="000000"/>
          <w:szCs w:val="21"/>
        </w:rPr>
        <w:t>需具备以下功能：</w:t>
      </w:r>
    </w:p>
    <w:p>
      <w:pPr>
        <w:ind w:right="437" w:rightChars="182" w:firstLine="480"/>
        <w:rPr>
          <w:rFonts w:ascii="宋体" w:hAnsi="宋体"/>
          <w:color w:val="000000"/>
          <w:szCs w:val="21"/>
        </w:rPr>
      </w:pPr>
      <w:r>
        <w:rPr>
          <w:rFonts w:hint="eastAsia" w:ascii="宋体" w:hAnsi="宋体"/>
          <w:color w:val="000000"/>
          <w:szCs w:val="21"/>
        </w:rPr>
        <w:t>仪表盘：查看资产、策略统计信息</w:t>
      </w:r>
    </w:p>
    <w:p>
      <w:pPr>
        <w:ind w:right="437" w:rightChars="182" w:firstLine="480"/>
        <w:rPr>
          <w:rFonts w:ascii="宋体" w:hAnsi="宋体"/>
          <w:color w:val="000000"/>
          <w:szCs w:val="21"/>
        </w:rPr>
      </w:pPr>
      <w:r>
        <w:rPr>
          <w:rFonts w:hint="eastAsia" w:ascii="宋体" w:hAnsi="宋体"/>
          <w:color w:val="000000"/>
          <w:szCs w:val="21"/>
        </w:rPr>
        <w:t>资产管理：管理资产信息，根据IP段搜索资产并添加到资产管理中</w:t>
      </w:r>
    </w:p>
    <w:p>
      <w:pPr>
        <w:ind w:right="437" w:rightChars="182" w:firstLine="480"/>
        <w:rPr>
          <w:rFonts w:ascii="宋体" w:hAnsi="宋体"/>
          <w:color w:val="000000"/>
          <w:szCs w:val="21"/>
        </w:rPr>
      </w:pPr>
      <w:r>
        <w:rPr>
          <w:rFonts w:hint="eastAsia" w:ascii="宋体" w:hAnsi="宋体"/>
          <w:color w:val="000000"/>
          <w:szCs w:val="21"/>
        </w:rPr>
        <w:t>策略管理：管理系统基础策略信息、管理系统高级策略信息、管理基线库信息</w:t>
      </w:r>
    </w:p>
    <w:p>
      <w:pPr>
        <w:ind w:right="437" w:rightChars="182" w:firstLine="480"/>
        <w:rPr>
          <w:rFonts w:ascii="宋体" w:hAnsi="宋体"/>
          <w:color w:val="000000"/>
          <w:szCs w:val="21"/>
        </w:rPr>
      </w:pPr>
      <w:r>
        <w:rPr>
          <w:rFonts w:hint="eastAsia" w:ascii="宋体" w:hAnsi="宋体"/>
          <w:color w:val="000000"/>
          <w:szCs w:val="21"/>
        </w:rPr>
        <w:t>扫描管理：管理基础扫描信息、管理高级</w:t>
      </w:r>
    </w:p>
    <w:p>
      <w:pPr>
        <w:ind w:right="437" w:rightChars="182" w:firstLine="480"/>
        <w:rPr>
          <w:rFonts w:ascii="宋体" w:hAnsi="宋体"/>
          <w:color w:val="000000"/>
          <w:szCs w:val="21"/>
        </w:rPr>
      </w:pPr>
      <w:r>
        <w:rPr>
          <w:rFonts w:hint="eastAsia" w:ascii="宋体" w:hAnsi="宋体"/>
          <w:color w:val="000000"/>
          <w:szCs w:val="21"/>
        </w:rPr>
        <w:t>扫描信息</w:t>
      </w:r>
    </w:p>
    <w:p>
      <w:pPr>
        <w:ind w:right="-530" w:rightChars="-221" w:firstLine="480"/>
        <w:rPr>
          <w:rFonts w:ascii="宋体" w:hAnsi="宋体"/>
          <w:color w:val="000000"/>
          <w:szCs w:val="21"/>
        </w:rPr>
      </w:pPr>
      <w:r>
        <w:rPr>
          <w:rFonts w:hint="eastAsia" w:ascii="宋体" w:hAnsi="宋体"/>
          <w:color w:val="000000"/>
          <w:szCs w:val="21"/>
        </w:rPr>
        <w:t>离线任务：离线状态下实现信息安全扫描报表管理：用于下载各种报表</w:t>
      </w:r>
    </w:p>
    <w:p>
      <w:pPr>
        <w:ind w:firstLine="480"/>
        <w:rPr>
          <w:rFonts w:ascii="宋体" w:hAnsi="宋体"/>
          <w:color w:val="000000"/>
          <w:szCs w:val="21"/>
        </w:rPr>
      </w:pPr>
      <w:r>
        <w:rPr>
          <w:rFonts w:hint="eastAsia" w:ascii="宋体" w:hAnsi="宋体"/>
          <w:color w:val="000000"/>
          <w:szCs w:val="21"/>
        </w:rPr>
        <w:t>系统设置：用户管理、角色管理、机构管理、区域管理、菜单管理</w:t>
      </w:r>
    </w:p>
    <w:p>
      <w:pPr>
        <w:wordWrap w:val="0"/>
        <w:topLinePunct/>
        <w:ind w:firstLine="480"/>
        <w:rPr>
          <w:rFonts w:ascii="宋体" w:hAnsi="宋体" w:cs="宋体"/>
          <w:szCs w:val="24"/>
        </w:rPr>
      </w:pPr>
      <w:r>
        <w:rPr>
          <w:rFonts w:hint="eastAsia" w:ascii="宋体" w:hAnsi="宋体"/>
          <w:color w:val="000000"/>
          <w:szCs w:val="21"/>
        </w:rPr>
        <w:t>须提供安全稽核工具原厂《计算机软件著作权登记证书》（加盖原厂公章）</w:t>
      </w:r>
      <w:r>
        <w:rPr>
          <w:rFonts w:hint="eastAsia" w:ascii="宋体" w:hAnsi="宋体" w:cs="宋体"/>
          <w:szCs w:val="24"/>
        </w:rPr>
        <w:t>。</w:t>
      </w:r>
      <w:bookmarkStart w:id="25" w:name="_GoBack"/>
      <w:bookmarkEnd w:id="25"/>
    </w:p>
    <w:p>
      <w:pPr>
        <w:numPr>
          <w:ilvl w:val="0"/>
          <w:numId w:val="1"/>
        </w:numPr>
        <w:wordWrap w:val="0"/>
        <w:topLinePunct/>
        <w:ind w:firstLineChars="0"/>
        <w:outlineLvl w:val="0"/>
        <w:rPr>
          <w:rFonts w:ascii="宋体" w:hAnsi="宋体" w:cs="宋体"/>
          <w:b/>
          <w:color w:val="000000" w:themeColor="text1"/>
          <w:szCs w:val="24"/>
          <w:lang w:eastAsia="zh-Hans"/>
          <w14:textFill>
            <w14:solidFill>
              <w14:schemeClr w14:val="tx1"/>
            </w14:solidFill>
          </w14:textFill>
        </w:rPr>
      </w:pPr>
      <w:r>
        <w:rPr>
          <w:rFonts w:hint="eastAsia" w:ascii="宋体" w:hAnsi="宋体" w:cs="宋体"/>
          <w:b/>
          <w:color w:val="000000" w:themeColor="text1"/>
          <w:szCs w:val="24"/>
          <w:lang w:eastAsia="zh-Hans"/>
          <w14:textFill>
            <w14:solidFill>
              <w14:schemeClr w14:val="tx1"/>
            </w14:solidFill>
          </w14:textFill>
        </w:rPr>
        <w:t>采购标的的数量、采购项目交付或实施的时间和地点</w:t>
      </w:r>
    </w:p>
    <w:p>
      <w:pPr>
        <w:spacing w:before="0" w:after="0"/>
        <w:ind w:firstLine="480"/>
        <w:rPr>
          <w:szCs w:val="21"/>
        </w:rPr>
      </w:pPr>
      <w:r>
        <w:rPr>
          <w:rFonts w:hint="eastAsia"/>
          <w:szCs w:val="21"/>
        </w:rPr>
        <w:t>采购标的：根据相关要求，结合玉溪市人民医院在当地网安部门备案的系统逐年开展测评工作。</w:t>
      </w:r>
    </w:p>
    <w:p>
      <w:pPr>
        <w:spacing w:before="0" w:after="0"/>
        <w:ind w:firstLine="480"/>
        <w:rPr>
          <w:szCs w:val="21"/>
        </w:rPr>
      </w:pPr>
      <w:r>
        <w:rPr>
          <w:rFonts w:hint="eastAsia"/>
          <w:szCs w:val="21"/>
        </w:rPr>
        <w:t>采购项目交付时间：合同签订后</w:t>
      </w:r>
      <w:r>
        <w:rPr>
          <w:rFonts w:hint="eastAsia"/>
          <w:szCs w:val="21"/>
          <w:lang w:val="en-US" w:eastAsia="zh-CN"/>
        </w:rPr>
        <w:t>60</w:t>
      </w:r>
      <w:r>
        <w:rPr>
          <w:rFonts w:hint="eastAsia"/>
          <w:szCs w:val="21"/>
        </w:rPr>
        <w:t>天内。</w:t>
      </w:r>
    </w:p>
    <w:p>
      <w:pPr>
        <w:wordWrap w:val="0"/>
        <w:topLinePunct/>
        <w:ind w:firstLine="480"/>
        <w:rPr>
          <w:szCs w:val="21"/>
        </w:rPr>
      </w:pPr>
      <w:r>
        <w:rPr>
          <w:rFonts w:hint="eastAsia"/>
          <w:szCs w:val="21"/>
        </w:rPr>
        <w:t>采购项目实施地址：甲方指定地点。</w:t>
      </w:r>
    </w:p>
    <w:p>
      <w:pPr>
        <w:numPr>
          <w:ilvl w:val="0"/>
          <w:numId w:val="1"/>
        </w:numPr>
        <w:wordWrap w:val="0"/>
        <w:topLinePunct/>
        <w:ind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采购标的的验收标准</w:t>
      </w:r>
    </w:p>
    <w:p>
      <w:pPr>
        <w:ind w:firstLine="480"/>
        <w:rPr>
          <w:szCs w:val="21"/>
        </w:rPr>
      </w:pPr>
      <w:r>
        <w:rPr>
          <w:rFonts w:hint="eastAsia"/>
          <w:szCs w:val="21"/>
        </w:rPr>
        <w:t>验收时测评服务商提交成果要求：</w:t>
      </w:r>
    </w:p>
    <w:p>
      <w:pPr>
        <w:pStyle w:val="8"/>
        <w:ind w:firstLine="480"/>
        <w:rPr>
          <w:szCs w:val="21"/>
        </w:rPr>
      </w:pPr>
      <w:r>
        <w:rPr>
          <w:rFonts w:hint="eastAsia"/>
          <w:szCs w:val="21"/>
        </w:rPr>
        <w:t>供应商完成等级保护测评工作应按要求提供相应系统的测评报告、整改建议书及测评实施计划书等，包括但不限于：</w:t>
      </w:r>
    </w:p>
    <w:p>
      <w:pPr>
        <w:pStyle w:val="8"/>
        <w:numPr>
          <w:ilvl w:val="0"/>
          <w:numId w:val="9"/>
        </w:numPr>
        <w:spacing w:before="0" w:after="0"/>
        <w:ind w:firstLineChars="0"/>
        <w:jc w:val="both"/>
        <w:rPr>
          <w:szCs w:val="21"/>
        </w:rPr>
      </w:pPr>
      <w:r>
        <w:rPr>
          <w:rFonts w:hint="eastAsia"/>
          <w:szCs w:val="21"/>
        </w:rPr>
        <w:t>《信息系统等级保护测评方案》（纸版和电子版）</w:t>
      </w:r>
    </w:p>
    <w:p>
      <w:pPr>
        <w:pStyle w:val="8"/>
        <w:numPr>
          <w:ilvl w:val="0"/>
          <w:numId w:val="9"/>
        </w:numPr>
        <w:spacing w:before="0" w:after="0"/>
        <w:ind w:firstLineChars="0"/>
        <w:jc w:val="both"/>
        <w:rPr>
          <w:szCs w:val="21"/>
        </w:rPr>
      </w:pPr>
      <w:r>
        <w:rPr>
          <w:rFonts w:hint="eastAsia"/>
          <w:szCs w:val="21"/>
        </w:rPr>
        <w:t>《等级保护测评过程记录文件》（纸版和电子版）</w:t>
      </w:r>
    </w:p>
    <w:p>
      <w:pPr>
        <w:pStyle w:val="8"/>
        <w:numPr>
          <w:ilvl w:val="0"/>
          <w:numId w:val="9"/>
        </w:numPr>
        <w:spacing w:before="0" w:after="0"/>
        <w:ind w:firstLineChars="0"/>
        <w:jc w:val="both"/>
        <w:rPr>
          <w:szCs w:val="21"/>
        </w:rPr>
      </w:pPr>
      <w:r>
        <w:rPr>
          <w:rFonts w:hint="eastAsia"/>
          <w:szCs w:val="21"/>
        </w:rPr>
        <w:t>《信息系统等级保护测评报告》（纸版和电子版）</w:t>
      </w:r>
    </w:p>
    <w:p>
      <w:pPr>
        <w:pStyle w:val="8"/>
        <w:numPr>
          <w:ilvl w:val="0"/>
          <w:numId w:val="9"/>
        </w:numPr>
        <w:spacing w:before="0" w:after="0"/>
        <w:ind w:firstLineChars="0"/>
        <w:jc w:val="both"/>
        <w:rPr>
          <w:szCs w:val="21"/>
        </w:rPr>
      </w:pPr>
      <w:r>
        <w:rPr>
          <w:rFonts w:hint="eastAsia"/>
          <w:szCs w:val="21"/>
        </w:rPr>
        <w:t>《安全整改建议书》（纸版和电子版）</w:t>
      </w:r>
    </w:p>
    <w:p>
      <w:pPr>
        <w:pStyle w:val="8"/>
        <w:numPr>
          <w:ilvl w:val="0"/>
          <w:numId w:val="9"/>
        </w:numPr>
        <w:spacing w:before="0" w:after="0"/>
        <w:ind w:firstLineChars="0"/>
        <w:jc w:val="both"/>
        <w:rPr>
          <w:szCs w:val="21"/>
        </w:rPr>
      </w:pPr>
      <w:r>
        <w:rPr>
          <w:rFonts w:hint="eastAsia"/>
          <w:szCs w:val="21"/>
          <w:lang w:val="en-US" w:eastAsia="zh-CN"/>
        </w:rPr>
        <w:t xml:space="preserve"> 在公安备案系统里可查。</w:t>
      </w:r>
    </w:p>
    <w:p>
      <w:pPr>
        <w:numPr>
          <w:ilvl w:val="0"/>
          <w:numId w:val="1"/>
        </w:numPr>
        <w:wordWrap w:val="0"/>
        <w:topLinePunct/>
        <w:ind w:firstLineChars="0"/>
        <w:outlineLvl w:val="0"/>
        <w:rPr>
          <w:rFonts w:ascii="宋体" w:hAnsi="宋体" w:cs="宋体"/>
          <w:b/>
          <w:color w:val="000000"/>
          <w:szCs w:val="24"/>
          <w:lang w:eastAsia="zh-Hans"/>
        </w:rPr>
      </w:pPr>
      <w:r>
        <w:rPr>
          <w:rFonts w:hint="eastAsia" w:ascii="宋体" w:hAnsi="宋体" w:cs="宋体"/>
          <w:b/>
          <w:color w:val="000000"/>
          <w:szCs w:val="24"/>
          <w:lang w:eastAsia="zh-Hans"/>
        </w:rPr>
        <w:t>采购标的的其他技术、服务等要求。</w:t>
      </w:r>
    </w:p>
    <w:p>
      <w:pPr>
        <w:ind w:firstLine="480"/>
      </w:pPr>
      <w:r>
        <w:rPr>
          <w:rFonts w:hint="eastAsia"/>
        </w:rPr>
        <w:t>其他要求：</w:t>
      </w:r>
    </w:p>
    <w:p>
      <w:pPr>
        <w:pStyle w:val="8"/>
        <w:numPr>
          <w:ilvl w:val="1"/>
          <w:numId w:val="10"/>
        </w:numPr>
        <w:ind w:left="426" w:firstLineChars="0"/>
      </w:pPr>
      <w:r>
        <w:rPr>
          <w:rFonts w:hint="eastAsia"/>
        </w:rPr>
        <w:t>应按网络安全等级保护测评要求制定测评服务过程中产生的文档，做科学、规范、详尽、统一等方面的要求。</w:t>
      </w:r>
    </w:p>
    <w:p>
      <w:pPr>
        <w:pStyle w:val="8"/>
        <w:numPr>
          <w:ilvl w:val="1"/>
          <w:numId w:val="10"/>
        </w:numPr>
        <w:ind w:left="426" w:firstLineChars="0"/>
      </w:pPr>
      <w:bookmarkStart w:id="24" w:name="bookmark19"/>
      <w:r>
        <w:rPr>
          <w:rFonts w:hint="eastAsia"/>
        </w:rPr>
        <w:t>保密要求</w:t>
      </w:r>
      <w:bookmarkEnd w:id="24"/>
      <w:r>
        <w:rPr>
          <w:rFonts w:hint="eastAsia"/>
        </w:rPr>
        <w:t>：成交供应商不得在任何场合向任何无关单位或个人透露被测评信息系统和被测评单位的内部信息，并与用户方签订保密协议。</w:t>
      </w:r>
    </w:p>
    <w:p>
      <w:pPr>
        <w:pStyle w:val="8"/>
        <w:numPr>
          <w:ilvl w:val="1"/>
          <w:numId w:val="10"/>
        </w:numPr>
        <w:ind w:left="426" w:firstLineChars="0"/>
        <w:rPr>
          <w:rFonts w:hint="eastAsia" w:ascii="华文宋体" w:hAnsi="华文宋体" w:eastAsia="华文宋体" w:cs="华文宋体"/>
          <w:sz w:val="32"/>
          <w:szCs w:val="32"/>
          <w:lang w:val="en-US" w:eastAsia="zh-CN"/>
        </w:rPr>
      </w:pPr>
      <w:r>
        <w:rPr>
          <w:rFonts w:hint="eastAsia"/>
        </w:rPr>
        <w:t>成交供应商须在规定时间内配合玉溪市人民医院顺利通过测评；在服务期内有责任提供技术支持，协助单位对照《安全整改建议书》开展整改工作。</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BC9BB"/>
    <w:multiLevelType w:val="singleLevel"/>
    <w:tmpl w:val="8CBBC9BB"/>
    <w:lvl w:ilvl="0" w:tentative="0">
      <w:start w:val="1"/>
      <w:numFmt w:val="decimal"/>
      <w:suff w:val="nothing"/>
      <w:lvlText w:val="%1、"/>
      <w:lvlJc w:val="left"/>
    </w:lvl>
  </w:abstractNum>
  <w:abstractNum w:abstractNumId="1">
    <w:nsid w:val="B74E290D"/>
    <w:multiLevelType w:val="singleLevel"/>
    <w:tmpl w:val="B74E290D"/>
    <w:lvl w:ilvl="0" w:tentative="0">
      <w:start w:val="1"/>
      <w:numFmt w:val="chineseCountingThousand"/>
      <w:lvlText w:val="%1、"/>
      <w:lvlJc w:val="left"/>
      <w:pPr>
        <w:ind w:left="420" w:hanging="420"/>
      </w:pPr>
      <w:rPr>
        <w:rFonts w:hint="eastAsia"/>
      </w:rPr>
    </w:lvl>
  </w:abstractNum>
  <w:abstractNum w:abstractNumId="2">
    <w:nsid w:val="0DF23ADE"/>
    <w:multiLevelType w:val="multilevel"/>
    <w:tmpl w:val="0DF23AD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5144795"/>
    <w:multiLevelType w:val="multilevel"/>
    <w:tmpl w:val="1514479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154A6E28"/>
    <w:multiLevelType w:val="multilevel"/>
    <w:tmpl w:val="154A6E2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9250439"/>
    <w:multiLevelType w:val="multilevel"/>
    <w:tmpl w:val="3925043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A076E2B"/>
    <w:multiLevelType w:val="multilevel"/>
    <w:tmpl w:val="3A076E2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1F47EC7"/>
    <w:multiLevelType w:val="multilevel"/>
    <w:tmpl w:val="41F47EC7"/>
    <w:lvl w:ilvl="0" w:tentative="0">
      <w:start w:val="1"/>
      <w:numFmt w:val="decimal"/>
      <w:lvlText w:val="%1、"/>
      <w:lvlJc w:val="left"/>
      <w:pPr>
        <w:ind w:left="668" w:hanging="420"/>
      </w:pPr>
      <w:rPr>
        <w:rFonts w:hint="eastAsia"/>
      </w:rPr>
    </w:lvl>
    <w:lvl w:ilvl="1" w:tentative="0">
      <w:start w:val="1"/>
      <w:numFmt w:val="decimal"/>
      <w:lvlText w:val="（%2）"/>
      <w:lvlJc w:val="left"/>
      <w:pPr>
        <w:ind w:left="1388" w:hanging="720"/>
      </w:pPr>
      <w:rPr>
        <w:rFonts w:hint="default"/>
      </w:rPr>
    </w:lvl>
    <w:lvl w:ilvl="2" w:tentative="0">
      <w:start w:val="1"/>
      <w:numFmt w:val="lowerRoman"/>
      <w:lvlText w:val="%3."/>
      <w:lvlJc w:val="right"/>
      <w:pPr>
        <w:ind w:left="1508" w:hanging="420"/>
      </w:pPr>
    </w:lvl>
    <w:lvl w:ilvl="3" w:tentative="0">
      <w:start w:val="1"/>
      <w:numFmt w:val="decimal"/>
      <w:lvlText w:val="%4."/>
      <w:lvlJc w:val="left"/>
      <w:pPr>
        <w:ind w:left="1928" w:hanging="420"/>
      </w:pPr>
    </w:lvl>
    <w:lvl w:ilvl="4" w:tentative="0">
      <w:start w:val="1"/>
      <w:numFmt w:val="lowerLetter"/>
      <w:lvlText w:val="%5)"/>
      <w:lvlJc w:val="left"/>
      <w:pPr>
        <w:ind w:left="2348" w:hanging="420"/>
      </w:pPr>
    </w:lvl>
    <w:lvl w:ilvl="5" w:tentative="0">
      <w:start w:val="1"/>
      <w:numFmt w:val="lowerRoman"/>
      <w:lvlText w:val="%6."/>
      <w:lvlJc w:val="right"/>
      <w:pPr>
        <w:ind w:left="2768" w:hanging="420"/>
      </w:pPr>
    </w:lvl>
    <w:lvl w:ilvl="6" w:tentative="0">
      <w:start w:val="1"/>
      <w:numFmt w:val="decimal"/>
      <w:lvlText w:val="%7."/>
      <w:lvlJc w:val="left"/>
      <w:pPr>
        <w:ind w:left="3188" w:hanging="420"/>
      </w:pPr>
    </w:lvl>
    <w:lvl w:ilvl="7" w:tentative="0">
      <w:start w:val="1"/>
      <w:numFmt w:val="lowerLetter"/>
      <w:lvlText w:val="%8)"/>
      <w:lvlJc w:val="left"/>
      <w:pPr>
        <w:ind w:left="3608" w:hanging="420"/>
      </w:pPr>
    </w:lvl>
    <w:lvl w:ilvl="8" w:tentative="0">
      <w:start w:val="1"/>
      <w:numFmt w:val="lowerRoman"/>
      <w:lvlText w:val="%9."/>
      <w:lvlJc w:val="right"/>
      <w:pPr>
        <w:ind w:left="4028" w:hanging="420"/>
      </w:pPr>
    </w:lvl>
  </w:abstractNum>
  <w:abstractNum w:abstractNumId="8">
    <w:nsid w:val="4D265ECD"/>
    <w:multiLevelType w:val="multilevel"/>
    <w:tmpl w:val="4D265ECD"/>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B1A4CFC"/>
    <w:multiLevelType w:val="multilevel"/>
    <w:tmpl w:val="5B1A4CF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751D"/>
    <w:rsid w:val="0AC46C4F"/>
    <w:rsid w:val="15254867"/>
    <w:rsid w:val="157607CE"/>
    <w:rsid w:val="1DF13C70"/>
    <w:rsid w:val="1DFD2101"/>
    <w:rsid w:val="20E7034B"/>
    <w:rsid w:val="244C2D4B"/>
    <w:rsid w:val="26A1116C"/>
    <w:rsid w:val="26F45693"/>
    <w:rsid w:val="2BD01EFE"/>
    <w:rsid w:val="3E661A40"/>
    <w:rsid w:val="40681226"/>
    <w:rsid w:val="51FB26D0"/>
    <w:rsid w:val="555936C5"/>
    <w:rsid w:val="5F592DFB"/>
    <w:rsid w:val="65F96C71"/>
    <w:rsid w:val="76BD5F80"/>
    <w:rsid w:val="7A5B4EC3"/>
    <w:rsid w:val="7C8F18A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pPr>
    <w:rPr>
      <w:rFonts w:eastAsia="宋体" w:asciiTheme="minorHAnsi" w:hAnsiTheme="minorHAnsi" w:cstheme="minorBidi"/>
      <w:kern w:val="2"/>
      <w:sz w:val="24"/>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uto"/>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首行缩进两字符"/>
    <w:basedOn w:val="1"/>
    <w:qFormat/>
    <w:uiPriority w:val="0"/>
    <w:pPr>
      <w:spacing w:before="0" w:after="0"/>
      <w:jc w:val="both"/>
    </w:pPr>
    <w:rPr>
      <w:rFonts w:ascii="Times New Roman" w:hAnsi="Times New Roman" w:cs="Times New Roman"/>
      <w:sz w:val="21"/>
      <w:szCs w:val="24"/>
    </w:rPr>
  </w:style>
  <w:style w:type="paragraph" w:customStyle="1" w:styleId="8">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2025-04-01T00:12:00Z</dcterms:created>
  <dc:creator>Administrator</dc:creator>
  <cp:lastModifiedBy>杨光</cp:lastModifiedBy>
  <dcterms:modified xsi:type="dcterms:W3CDTF">2025-06-04T09:46:43Z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446A9313956948BE9B74293F2A5B83DE</vt:lpwstr>
  </property>
</Properties>
</file>